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31074" w14:textId="77777777" w:rsidR="00127A71" w:rsidRPr="00515CF0" w:rsidRDefault="00127A71" w:rsidP="00F16257">
      <w:pPr>
        <w:pStyle w:val="Title"/>
        <w:jc w:val="both"/>
        <w:rPr>
          <w:rFonts w:asciiTheme="majorHAnsi" w:hAnsiTheme="majorHAnsi" w:cstheme="majorHAnsi"/>
          <w:sz w:val="26"/>
          <w:lang w:val="en-US"/>
        </w:rPr>
      </w:pPr>
      <w:r w:rsidRPr="00515CF0">
        <w:rPr>
          <w:rFonts w:asciiTheme="majorHAnsi" w:hAnsiTheme="majorHAnsi" w:cstheme="majorHAnsi"/>
          <w:sz w:val="26"/>
          <w:lang w:val="en-US"/>
        </w:rPr>
        <w:t>Alliance for Health Policy and Systems Research</w:t>
      </w:r>
    </w:p>
    <w:p w14:paraId="2EDB059D" w14:textId="6894F053" w:rsidR="00EA0DAD" w:rsidRPr="00515CF0" w:rsidRDefault="009A2B94" w:rsidP="00F16257">
      <w:pPr>
        <w:pStyle w:val="Title"/>
        <w:jc w:val="both"/>
        <w:rPr>
          <w:rFonts w:asciiTheme="majorHAnsi" w:hAnsiTheme="majorHAnsi" w:cstheme="majorHAnsi"/>
          <w:lang w:val="en-US"/>
        </w:rPr>
      </w:pPr>
      <w:r w:rsidRPr="00515CF0">
        <w:rPr>
          <w:rFonts w:asciiTheme="majorHAnsi" w:hAnsiTheme="majorHAnsi" w:cstheme="majorHAnsi"/>
          <w:lang w:val="en-US"/>
        </w:rPr>
        <w:t>Positioning the Min</w:t>
      </w:r>
      <w:r w:rsidR="004F6E5B" w:rsidRPr="00515CF0">
        <w:rPr>
          <w:rFonts w:asciiTheme="majorHAnsi" w:hAnsiTheme="majorHAnsi" w:cstheme="majorHAnsi"/>
          <w:lang w:val="en-US"/>
        </w:rPr>
        <w:t xml:space="preserve">istries of Health </w:t>
      </w:r>
      <w:r w:rsidR="00E965DE" w:rsidRPr="00515CF0">
        <w:rPr>
          <w:rFonts w:asciiTheme="majorHAnsi" w:hAnsiTheme="majorHAnsi" w:cstheme="majorHAnsi"/>
          <w:lang w:val="en-US"/>
        </w:rPr>
        <w:t xml:space="preserve">in response </w:t>
      </w:r>
      <w:r w:rsidR="00667597" w:rsidRPr="00515CF0">
        <w:rPr>
          <w:rFonts w:asciiTheme="majorHAnsi" w:hAnsiTheme="majorHAnsi" w:cstheme="majorHAnsi"/>
          <w:lang w:val="en-US"/>
        </w:rPr>
        <w:t>to COVID-19</w:t>
      </w:r>
      <w:r w:rsidR="003F4329" w:rsidRPr="00515CF0">
        <w:rPr>
          <w:rFonts w:asciiTheme="majorHAnsi" w:hAnsiTheme="majorHAnsi" w:cstheme="majorHAnsi"/>
          <w:lang w:val="en-US"/>
        </w:rPr>
        <w:t>:</w:t>
      </w:r>
      <w:r w:rsidR="001A4CCD" w:rsidRPr="00515CF0">
        <w:rPr>
          <w:rFonts w:asciiTheme="majorHAnsi" w:hAnsiTheme="majorHAnsi" w:cstheme="majorHAnsi"/>
          <w:lang w:val="en-US"/>
        </w:rPr>
        <w:t xml:space="preserve"> </w:t>
      </w:r>
      <w:r w:rsidR="003F4329" w:rsidRPr="00515CF0">
        <w:rPr>
          <w:rFonts w:asciiTheme="majorHAnsi" w:hAnsiTheme="majorHAnsi" w:cstheme="majorHAnsi"/>
          <w:lang w:val="en-US"/>
        </w:rPr>
        <w:t>Georgia</w:t>
      </w:r>
      <w:r w:rsidR="00E85B3F" w:rsidRPr="00515CF0">
        <w:rPr>
          <w:rFonts w:asciiTheme="majorHAnsi" w:hAnsiTheme="majorHAnsi" w:cstheme="majorHAnsi"/>
          <w:lang w:val="en-US"/>
        </w:rPr>
        <w:t xml:space="preserve"> Case</w:t>
      </w:r>
      <w:r w:rsidR="001A4CCD" w:rsidRPr="00515CF0">
        <w:rPr>
          <w:rFonts w:asciiTheme="majorHAnsi" w:hAnsiTheme="majorHAnsi" w:cstheme="majorHAnsi"/>
          <w:lang w:val="en-US"/>
        </w:rPr>
        <w:t xml:space="preserve"> Study</w:t>
      </w:r>
    </w:p>
    <w:p w14:paraId="237318DA" w14:textId="77777777" w:rsidR="001A4CCD" w:rsidRPr="00515CF0" w:rsidRDefault="001A4CCD" w:rsidP="00F16257">
      <w:pPr>
        <w:jc w:val="both"/>
        <w:rPr>
          <w:rFonts w:asciiTheme="majorHAnsi" w:hAnsiTheme="majorHAnsi" w:cstheme="majorHAnsi"/>
        </w:rPr>
      </w:pPr>
    </w:p>
    <w:p w14:paraId="118D1B3F" w14:textId="420BB252" w:rsidR="00EA0DAD" w:rsidRPr="00515CF0" w:rsidRDefault="009D6854" w:rsidP="00F16257">
      <w:pPr>
        <w:jc w:val="both"/>
        <w:rPr>
          <w:rFonts w:asciiTheme="majorHAnsi" w:hAnsiTheme="majorHAnsi" w:cstheme="majorHAnsi"/>
          <w:b/>
          <w:sz w:val="28"/>
        </w:rPr>
      </w:pPr>
      <w:r>
        <w:rPr>
          <w:rFonts w:asciiTheme="majorHAnsi" w:hAnsiTheme="majorHAnsi" w:cstheme="majorHAnsi"/>
          <w:b/>
          <w:sz w:val="28"/>
        </w:rPr>
        <w:t xml:space="preserve">Draft </w:t>
      </w:r>
      <w:r w:rsidR="00AF6230" w:rsidRPr="00515CF0">
        <w:rPr>
          <w:rFonts w:asciiTheme="majorHAnsi" w:hAnsiTheme="majorHAnsi" w:cstheme="majorHAnsi"/>
          <w:b/>
          <w:sz w:val="28"/>
        </w:rPr>
        <w:t>R</w:t>
      </w:r>
      <w:r w:rsidR="004A2C51" w:rsidRPr="00515CF0">
        <w:rPr>
          <w:rFonts w:asciiTheme="majorHAnsi" w:hAnsiTheme="majorHAnsi" w:cstheme="majorHAnsi"/>
          <w:b/>
          <w:sz w:val="28"/>
        </w:rPr>
        <w:t>esearch Protocol</w:t>
      </w:r>
    </w:p>
    <w:p w14:paraId="6D5AEE44" w14:textId="77777777" w:rsidR="00E85C44" w:rsidRPr="00515CF0" w:rsidRDefault="00E85C44" w:rsidP="00F16257">
      <w:pPr>
        <w:jc w:val="both"/>
        <w:rPr>
          <w:rFonts w:asciiTheme="majorHAnsi" w:hAnsiTheme="majorHAnsi" w:cstheme="majorHAnsi"/>
          <w:b/>
        </w:rPr>
      </w:pPr>
    </w:p>
    <w:p w14:paraId="54739140" w14:textId="77777777" w:rsidR="00A64A3A" w:rsidRPr="00515CF0" w:rsidRDefault="00A64A3A" w:rsidP="00F16257">
      <w:pPr>
        <w:jc w:val="both"/>
        <w:rPr>
          <w:rFonts w:asciiTheme="majorHAnsi" w:hAnsiTheme="majorHAnsi" w:cstheme="majorHAnsi"/>
          <w:b/>
        </w:rPr>
      </w:pPr>
    </w:p>
    <w:p w14:paraId="75DB1CA1" w14:textId="77777777" w:rsidR="00634B04" w:rsidRPr="00515CF0" w:rsidRDefault="00634B04">
      <w:pPr>
        <w:spacing w:before="0"/>
        <w:rPr>
          <w:rFonts w:asciiTheme="majorHAnsi" w:hAnsiTheme="majorHAnsi" w:cstheme="majorHAnsi"/>
          <w:b/>
          <w:bCs/>
          <w:kern w:val="32"/>
          <w:sz w:val="30"/>
          <w:szCs w:val="32"/>
        </w:rPr>
      </w:pPr>
      <w:r w:rsidRPr="00515CF0">
        <w:rPr>
          <w:rFonts w:asciiTheme="majorHAnsi" w:hAnsiTheme="majorHAnsi" w:cstheme="majorHAnsi"/>
        </w:rPr>
        <w:br w:type="page"/>
      </w:r>
    </w:p>
    <w:p w14:paraId="38ACD004" w14:textId="6639240C" w:rsidR="00682372" w:rsidRPr="00515CF0" w:rsidRDefault="00C45D9D" w:rsidP="00990DB6">
      <w:pPr>
        <w:pStyle w:val="Heading1"/>
        <w:jc w:val="both"/>
        <w:rPr>
          <w:rFonts w:asciiTheme="majorHAnsi" w:hAnsiTheme="majorHAnsi" w:cstheme="majorHAnsi"/>
        </w:rPr>
      </w:pPr>
      <w:r w:rsidRPr="00515CF0">
        <w:rPr>
          <w:rFonts w:asciiTheme="majorHAnsi" w:hAnsiTheme="majorHAnsi" w:cstheme="majorHAnsi"/>
        </w:rPr>
        <w:lastRenderedPageBreak/>
        <w:t xml:space="preserve">1. </w:t>
      </w:r>
      <w:r w:rsidR="001B5BF5" w:rsidRPr="00515CF0">
        <w:rPr>
          <w:rFonts w:asciiTheme="majorHAnsi" w:hAnsiTheme="majorHAnsi" w:cstheme="majorHAnsi"/>
        </w:rPr>
        <w:t>Introduction</w:t>
      </w:r>
    </w:p>
    <w:p w14:paraId="1CA73658" w14:textId="30684E9F" w:rsidR="00DD04DB" w:rsidRPr="00515CF0" w:rsidRDefault="00682372" w:rsidP="00F16257">
      <w:pPr>
        <w:jc w:val="both"/>
      </w:pPr>
      <w:r w:rsidRPr="00515CF0">
        <w:t>the COVID-19 pandemic is still unfolding globally and is on the rise in most parts of the world</w:t>
      </w:r>
      <w:r w:rsidR="00073BAD" w:rsidRPr="00515CF0">
        <w:t xml:space="preserve">, </w:t>
      </w:r>
      <w:r w:rsidR="00230792" w:rsidRPr="00515CF0">
        <w:t>partly because</w:t>
      </w:r>
      <w:r w:rsidR="00073BAD" w:rsidRPr="00515CF0">
        <w:t xml:space="preserve"> many countries have re-opened after </w:t>
      </w:r>
      <w:r w:rsidR="00230792" w:rsidRPr="00515CF0">
        <w:t>strict nationwide lockdowns</w:t>
      </w:r>
      <w:r w:rsidRPr="00515CF0">
        <w:t xml:space="preserve">. Over </w:t>
      </w:r>
      <w:r w:rsidR="00201BAD" w:rsidRPr="00515CF0">
        <w:t>2</w:t>
      </w:r>
      <w:r w:rsidR="00230792" w:rsidRPr="00515CF0">
        <w:t>6</w:t>
      </w:r>
      <w:r w:rsidRPr="00515CF0">
        <w:t xml:space="preserve"> million people have contracted the disease in 21</w:t>
      </w:r>
      <w:r w:rsidR="00201BAD" w:rsidRPr="00515CF0">
        <w:t>6</w:t>
      </w:r>
      <w:r w:rsidRPr="00515CF0">
        <w:t xml:space="preserve"> countries, and over </w:t>
      </w:r>
      <w:r w:rsidR="00230792" w:rsidRPr="00515CF0">
        <w:t xml:space="preserve">800 thousand </w:t>
      </w:r>
      <w:r w:rsidRPr="00515CF0">
        <w:t>people perished because of it</w:t>
      </w:r>
      <w:r w:rsidR="007152B6" w:rsidRPr="00515CF0">
        <w:t>.</w:t>
      </w:r>
      <w:sdt>
        <w:sdtPr>
          <w:id w:val="2042013544"/>
          <w:citation/>
        </w:sdtPr>
        <w:sdtEndPr/>
        <w:sdtContent>
          <w:r w:rsidR="007152B6" w:rsidRPr="00515CF0">
            <w:fldChar w:fldCharType="begin"/>
          </w:r>
          <w:r w:rsidR="007152B6" w:rsidRPr="00515CF0">
            <w:instrText xml:space="preserve"> CITATION Joh20 \l 1033 </w:instrText>
          </w:r>
          <w:r w:rsidR="007152B6" w:rsidRPr="00515CF0">
            <w:fldChar w:fldCharType="separate"/>
          </w:r>
          <w:r w:rsidR="00100F18" w:rsidRPr="00515CF0">
            <w:rPr>
              <w:noProof/>
            </w:rPr>
            <w:t xml:space="preserve"> [1]</w:t>
          </w:r>
          <w:r w:rsidR="007152B6" w:rsidRPr="00515CF0">
            <w:fldChar w:fldCharType="end"/>
          </w:r>
        </w:sdtContent>
      </w:sdt>
      <w:r w:rsidRPr="00515CF0">
        <w:t xml:space="preserve">. With already a grim outlook for the global economy, the full extent of the devastating economic and social effects of the pandemic is yet unclear. Beholding the historical experience of previous pandemics and following the advice of the experts, most of the governments are bracing for a potentially more disastrous second wave of the infection </w:t>
      </w:r>
      <w:r w:rsidR="004F1D8E" w:rsidRPr="00515CF0">
        <w:t>before the end of the year 2020</w:t>
      </w:r>
      <w:r w:rsidRPr="00515CF0">
        <w:t xml:space="preserve">. </w:t>
      </w:r>
    </w:p>
    <w:p w14:paraId="34813807" w14:textId="58B46C2F" w:rsidR="00DD04DB" w:rsidRPr="00515CF0" w:rsidRDefault="00DD04DB" w:rsidP="00F16257">
      <w:pPr>
        <w:jc w:val="both"/>
      </w:pPr>
      <w:r w:rsidRPr="00515CF0">
        <w:t>There are still many unknowns and unanswered questions regarding the novel coronavirus and how it managed to inflict so much damage around the globe. However, enough time passed, and enough evidence accumulated for analysis and deliberations on the preliminary lessons learned from the global pandemic response. In some countries, the contagious spread like wildfire and their health systems collapsed. In contrast, others appear to be successful in controlling the outbreak and averting catastrophic results for their health systems. Looking more closely to such country cases may give us an insight on why this wide variation among countries occurred; what were the determining factors that some countries and regions fared better than others, and more broadly, what so far has worked and what does not, in responding to the biggest challenge that humanity has faced in this century.</w:t>
      </w:r>
    </w:p>
    <w:p w14:paraId="23EF902C" w14:textId="6854D656" w:rsidR="000341BE" w:rsidRPr="00515CF0" w:rsidRDefault="00792BDC" w:rsidP="00F16257">
      <w:pPr>
        <w:jc w:val="both"/>
      </w:pPr>
      <w:r w:rsidRPr="00515CF0">
        <w:t xml:space="preserve">The </w:t>
      </w:r>
      <w:r w:rsidR="00C62699" w:rsidRPr="00515CF0">
        <w:t xml:space="preserve">Alliance for </w:t>
      </w:r>
      <w:r w:rsidR="009E0AF4" w:rsidRPr="00515CF0">
        <w:t xml:space="preserve">Health Policy and Systems </w:t>
      </w:r>
      <w:r w:rsidR="00BB16F7" w:rsidRPr="00515CF0">
        <w:t>R</w:t>
      </w:r>
      <w:r w:rsidR="009E0AF4" w:rsidRPr="00515CF0">
        <w:t xml:space="preserve">esearch has launched </w:t>
      </w:r>
      <w:r w:rsidR="00C62699" w:rsidRPr="00515CF0">
        <w:t>a demand</w:t>
      </w:r>
      <w:r w:rsidR="00BE4A55">
        <w:t>-</w:t>
      </w:r>
      <w:r w:rsidR="00C62699" w:rsidRPr="00515CF0">
        <w:t xml:space="preserve">driven programme of </w:t>
      </w:r>
      <w:r w:rsidR="00BB16F7" w:rsidRPr="00515CF0">
        <w:t>research</w:t>
      </w:r>
      <w:r w:rsidR="00C62699" w:rsidRPr="00515CF0">
        <w:t xml:space="preserve"> to facilitate the response to COVID-19</w:t>
      </w:r>
      <w:r w:rsidR="00BB16F7" w:rsidRPr="00515CF0">
        <w:t xml:space="preserve">. Within the </w:t>
      </w:r>
      <w:r w:rsidR="00B05E9F" w:rsidRPr="00515CF0">
        <w:t xml:space="preserve">framework of this </w:t>
      </w:r>
      <w:r w:rsidR="00262CD6" w:rsidRPr="00515CF0">
        <w:t>research</w:t>
      </w:r>
      <w:r w:rsidR="00D13753" w:rsidRPr="00515CF0">
        <w:t xml:space="preserve">, we </w:t>
      </w:r>
      <w:r w:rsidR="0069268E" w:rsidRPr="00515CF0">
        <w:t>propose to</w:t>
      </w:r>
      <w:r w:rsidR="00F025BA" w:rsidRPr="00515CF0">
        <w:t xml:space="preserve"> conduct a </w:t>
      </w:r>
      <w:r w:rsidR="00EB525E" w:rsidRPr="00515CF0">
        <w:t xml:space="preserve">Georgia </w:t>
      </w:r>
      <w:r w:rsidR="00F025BA" w:rsidRPr="00515CF0">
        <w:t xml:space="preserve">case study to examine how </w:t>
      </w:r>
      <w:r w:rsidR="00094E9A" w:rsidRPr="00515CF0">
        <w:t xml:space="preserve">the </w:t>
      </w:r>
      <w:r w:rsidR="009B5336" w:rsidRPr="00515CF0">
        <w:t xml:space="preserve">country </w:t>
      </w:r>
      <w:r w:rsidR="00094E9A" w:rsidRPr="00515CF0">
        <w:t xml:space="preserve">response </w:t>
      </w:r>
      <w:r w:rsidR="00940838" w:rsidRPr="00515CF0">
        <w:t>to the COVID-19</w:t>
      </w:r>
      <w:r w:rsidR="00D13753" w:rsidRPr="00515CF0">
        <w:t xml:space="preserve"> </w:t>
      </w:r>
      <w:r w:rsidR="009B5336" w:rsidRPr="00515CF0">
        <w:t>was planned and implemented and analy</w:t>
      </w:r>
      <w:r w:rsidR="0070669C" w:rsidRPr="00515CF0">
        <w:t>ze</w:t>
      </w:r>
      <w:r w:rsidR="006E171F" w:rsidRPr="00515CF0">
        <w:t xml:space="preserve"> why and how </w:t>
      </w:r>
      <w:r w:rsidR="00204A0A" w:rsidRPr="00515CF0">
        <w:t>the country was so far relatively successful in controlling the outbreak</w:t>
      </w:r>
      <w:r w:rsidR="00EB525E" w:rsidRPr="00515CF0">
        <w:t xml:space="preserve"> and what was the</w:t>
      </w:r>
      <w:r w:rsidR="0059244E" w:rsidRPr="00515CF0">
        <w:t xml:space="preserve"> role and influence of Ministry of IDPs</w:t>
      </w:r>
      <w:r w:rsidR="008D7F8B" w:rsidRPr="00515CF0">
        <w:t xml:space="preserve"> from</w:t>
      </w:r>
      <w:r w:rsidR="0059244E" w:rsidRPr="00515CF0">
        <w:t xml:space="preserve"> Occupied Territories</w:t>
      </w:r>
      <w:r w:rsidR="008D7F8B" w:rsidRPr="00515CF0">
        <w:t>, Labour, Health and Social Affairs</w:t>
      </w:r>
      <w:r w:rsidR="00904490" w:rsidRPr="00515CF0">
        <w:t xml:space="preserve"> (hereafter referred as Ministry)</w:t>
      </w:r>
      <w:r w:rsidR="008D7F8B" w:rsidRPr="00515CF0">
        <w:t xml:space="preserve"> in </w:t>
      </w:r>
      <w:r w:rsidR="00EC60CD" w:rsidRPr="00515CF0">
        <w:t>whole-the-government mobilization, planning</w:t>
      </w:r>
      <w:r w:rsidR="0036218E" w:rsidRPr="00515CF0">
        <w:t>, decision-making and implementation of the response measure</w:t>
      </w:r>
      <w:r w:rsidR="00F025BA" w:rsidRPr="00515CF0">
        <w:t>.</w:t>
      </w:r>
      <w:r w:rsidR="0069268E" w:rsidRPr="00515CF0">
        <w:t xml:space="preserve"> The case study will</w:t>
      </w:r>
      <w:r w:rsidR="00904490" w:rsidRPr="00515CF0">
        <w:t xml:space="preserve"> </w:t>
      </w:r>
      <w:r w:rsidR="0069268E" w:rsidRPr="00515CF0">
        <w:t xml:space="preserve">help to </w:t>
      </w:r>
      <w:r w:rsidR="00D817E8" w:rsidRPr="00515CF0">
        <w:t xml:space="preserve">derive </w:t>
      </w:r>
      <w:r w:rsidR="00E831BF" w:rsidRPr="00515CF0">
        <w:t>lessons on how to</w:t>
      </w:r>
      <w:r w:rsidR="00AC727B" w:rsidRPr="00515CF0">
        <w:t xml:space="preserve"> </w:t>
      </w:r>
      <w:r w:rsidR="00F932BA" w:rsidRPr="00515CF0">
        <w:t xml:space="preserve">position the Ministry and other </w:t>
      </w:r>
      <w:r w:rsidR="00D92BAF" w:rsidRPr="00515CF0">
        <w:t xml:space="preserve">stakeholders </w:t>
      </w:r>
      <w:r w:rsidR="00F932BA" w:rsidRPr="00515CF0">
        <w:t xml:space="preserve">to </w:t>
      </w:r>
      <w:r w:rsidR="00AC727B" w:rsidRPr="00515CF0">
        <w:t xml:space="preserve">respond better to </w:t>
      </w:r>
      <w:r w:rsidR="00BE4A55">
        <w:t xml:space="preserve">a </w:t>
      </w:r>
      <w:r w:rsidR="00416F80" w:rsidRPr="00515CF0">
        <w:t xml:space="preserve">possible second wave of this infection or any other </w:t>
      </w:r>
      <w:r w:rsidR="0059244E" w:rsidRPr="00515CF0">
        <w:t>contagions with pandemic potential</w:t>
      </w:r>
      <w:r w:rsidR="0069268E" w:rsidRPr="00515CF0">
        <w:t xml:space="preserve">. </w:t>
      </w:r>
    </w:p>
    <w:p w14:paraId="3DC05C73" w14:textId="69BF751C" w:rsidR="00F025BA" w:rsidRPr="00515CF0" w:rsidRDefault="00F025BA" w:rsidP="00F16257">
      <w:pPr>
        <w:spacing w:before="240" w:after="240"/>
        <w:jc w:val="both"/>
        <w:rPr>
          <w:rFonts w:asciiTheme="majorHAnsi" w:hAnsiTheme="majorHAnsi" w:cstheme="majorHAnsi"/>
        </w:rPr>
      </w:pPr>
      <w:r w:rsidRPr="00515CF0">
        <w:rPr>
          <w:rFonts w:asciiTheme="majorHAnsi" w:hAnsiTheme="majorHAnsi" w:cstheme="majorHAnsi"/>
        </w:rPr>
        <w:t xml:space="preserve">This study aims at </w:t>
      </w:r>
      <w:r w:rsidRPr="00515CF0">
        <w:rPr>
          <w:rFonts w:asciiTheme="majorHAnsi" w:hAnsiTheme="majorHAnsi" w:cstheme="majorHAnsi"/>
          <w:b/>
        </w:rPr>
        <w:t>documenting and</w:t>
      </w:r>
      <w:r w:rsidRPr="00515CF0">
        <w:rPr>
          <w:rFonts w:asciiTheme="majorHAnsi" w:hAnsiTheme="majorHAnsi" w:cstheme="majorHAnsi"/>
        </w:rPr>
        <w:t xml:space="preserve"> </w:t>
      </w:r>
      <w:r w:rsidRPr="00515CF0">
        <w:rPr>
          <w:rFonts w:asciiTheme="majorHAnsi" w:hAnsiTheme="majorHAnsi" w:cstheme="majorHAnsi"/>
          <w:b/>
          <w:bCs/>
        </w:rPr>
        <w:t>analyzing the</w:t>
      </w:r>
      <w:r w:rsidR="00543186" w:rsidRPr="00515CF0">
        <w:rPr>
          <w:rFonts w:asciiTheme="majorHAnsi" w:hAnsiTheme="majorHAnsi" w:cstheme="majorHAnsi"/>
          <w:b/>
          <w:bCs/>
        </w:rPr>
        <w:t xml:space="preserve"> </w:t>
      </w:r>
      <w:r w:rsidR="00C21C5C" w:rsidRPr="00515CF0">
        <w:rPr>
          <w:rFonts w:asciiTheme="majorHAnsi" w:hAnsiTheme="majorHAnsi" w:cstheme="majorHAnsi"/>
          <w:b/>
          <w:bCs/>
        </w:rPr>
        <w:t xml:space="preserve">preparation, initiation and </w:t>
      </w:r>
      <w:r w:rsidR="00454DA3" w:rsidRPr="00515CF0">
        <w:rPr>
          <w:rFonts w:asciiTheme="majorHAnsi" w:hAnsiTheme="majorHAnsi" w:cstheme="majorHAnsi"/>
          <w:b/>
          <w:bCs/>
        </w:rPr>
        <w:t xml:space="preserve">the </w:t>
      </w:r>
      <w:r w:rsidR="00377C82" w:rsidRPr="00515CF0">
        <w:rPr>
          <w:rFonts w:asciiTheme="majorHAnsi" w:hAnsiTheme="majorHAnsi" w:cstheme="majorHAnsi"/>
          <w:b/>
          <w:bCs/>
        </w:rPr>
        <w:t>scaleup</w:t>
      </w:r>
      <w:r w:rsidR="00C21C5C" w:rsidRPr="00515CF0">
        <w:rPr>
          <w:rFonts w:asciiTheme="majorHAnsi" w:hAnsiTheme="majorHAnsi" w:cstheme="majorHAnsi"/>
          <w:b/>
          <w:bCs/>
        </w:rPr>
        <w:t xml:space="preserve"> of the country response to </w:t>
      </w:r>
      <w:r w:rsidR="00863842" w:rsidRPr="00515CF0">
        <w:rPr>
          <w:rFonts w:asciiTheme="majorHAnsi" w:hAnsiTheme="majorHAnsi" w:cstheme="majorHAnsi"/>
          <w:b/>
          <w:bCs/>
        </w:rPr>
        <w:t>the spread of COVID-19 infection</w:t>
      </w:r>
      <w:r w:rsidR="0067603E" w:rsidRPr="00515CF0">
        <w:rPr>
          <w:rFonts w:asciiTheme="majorHAnsi" w:hAnsiTheme="majorHAnsi" w:cstheme="majorHAnsi"/>
          <w:b/>
          <w:bCs/>
        </w:rPr>
        <w:t xml:space="preserve"> in Georgia,</w:t>
      </w:r>
      <w:r w:rsidR="00863842" w:rsidRPr="00515CF0">
        <w:rPr>
          <w:rFonts w:asciiTheme="majorHAnsi" w:hAnsiTheme="majorHAnsi" w:cstheme="majorHAnsi"/>
          <w:b/>
          <w:bCs/>
        </w:rPr>
        <w:t xml:space="preserve"> from </w:t>
      </w:r>
      <w:r w:rsidR="00FE2077" w:rsidRPr="00515CF0">
        <w:rPr>
          <w:rFonts w:asciiTheme="majorHAnsi" w:hAnsiTheme="majorHAnsi" w:cstheme="majorHAnsi"/>
          <w:b/>
          <w:bCs/>
        </w:rPr>
        <w:t xml:space="preserve">January </w:t>
      </w:r>
      <w:r w:rsidR="00161A46" w:rsidRPr="00515CF0">
        <w:rPr>
          <w:rFonts w:asciiTheme="majorHAnsi" w:hAnsiTheme="majorHAnsi" w:cstheme="majorHAnsi"/>
          <w:b/>
          <w:bCs/>
        </w:rPr>
        <w:t>2020,</w:t>
      </w:r>
      <w:r w:rsidR="0067603E" w:rsidRPr="00515CF0">
        <w:rPr>
          <w:rFonts w:asciiTheme="majorHAnsi" w:hAnsiTheme="majorHAnsi" w:cstheme="majorHAnsi"/>
          <w:b/>
          <w:bCs/>
        </w:rPr>
        <w:t xml:space="preserve"> </w:t>
      </w:r>
      <w:r w:rsidR="00CB7666" w:rsidRPr="00515CF0">
        <w:rPr>
          <w:rFonts w:asciiTheme="majorHAnsi" w:hAnsiTheme="majorHAnsi" w:cstheme="majorHAnsi"/>
          <w:b/>
          <w:bCs/>
        </w:rPr>
        <w:t>immediately after the first COVID</w:t>
      </w:r>
      <w:r w:rsidR="00161A46" w:rsidRPr="00515CF0">
        <w:rPr>
          <w:rFonts w:asciiTheme="majorHAnsi" w:hAnsiTheme="majorHAnsi" w:cstheme="majorHAnsi"/>
          <w:b/>
          <w:bCs/>
        </w:rPr>
        <w:t>-</w:t>
      </w:r>
      <w:r w:rsidR="00CB7666" w:rsidRPr="00515CF0">
        <w:rPr>
          <w:rFonts w:asciiTheme="majorHAnsi" w:hAnsiTheme="majorHAnsi" w:cstheme="majorHAnsi"/>
          <w:b/>
          <w:bCs/>
        </w:rPr>
        <w:t>19 cases were confirmed</w:t>
      </w:r>
      <w:r w:rsidR="0067603E" w:rsidRPr="00515CF0">
        <w:rPr>
          <w:rFonts w:asciiTheme="majorHAnsi" w:hAnsiTheme="majorHAnsi" w:cstheme="majorHAnsi"/>
          <w:b/>
          <w:bCs/>
        </w:rPr>
        <w:t>,</w:t>
      </w:r>
      <w:r w:rsidR="00CB7666" w:rsidRPr="00515CF0">
        <w:rPr>
          <w:rFonts w:asciiTheme="majorHAnsi" w:hAnsiTheme="majorHAnsi" w:cstheme="majorHAnsi"/>
          <w:b/>
          <w:bCs/>
        </w:rPr>
        <w:t xml:space="preserve"> </w:t>
      </w:r>
      <w:r w:rsidR="00FE2077" w:rsidRPr="00515CF0">
        <w:rPr>
          <w:rFonts w:asciiTheme="majorHAnsi" w:hAnsiTheme="majorHAnsi" w:cstheme="majorHAnsi"/>
          <w:b/>
          <w:bCs/>
        </w:rPr>
        <w:t>to September 2020</w:t>
      </w:r>
      <w:r w:rsidR="00077BCA" w:rsidRPr="00515CF0">
        <w:rPr>
          <w:rFonts w:asciiTheme="majorHAnsi" w:hAnsiTheme="majorHAnsi" w:cstheme="majorHAnsi"/>
          <w:b/>
          <w:bCs/>
        </w:rPr>
        <w:t>.</w:t>
      </w:r>
      <w:r w:rsidRPr="00515CF0">
        <w:rPr>
          <w:rFonts w:asciiTheme="majorHAnsi" w:hAnsiTheme="majorHAnsi" w:cstheme="majorHAnsi"/>
        </w:rPr>
        <w:t xml:space="preserve"> </w:t>
      </w:r>
    </w:p>
    <w:p w14:paraId="65530CBB" w14:textId="6B0CA1E1" w:rsidR="00B936BB" w:rsidRPr="00515CF0" w:rsidRDefault="00F025BA" w:rsidP="00F16257">
      <w:pPr>
        <w:spacing w:before="240" w:after="240"/>
        <w:jc w:val="both"/>
        <w:rPr>
          <w:rFonts w:asciiTheme="majorHAnsi" w:hAnsiTheme="majorHAnsi" w:cstheme="majorHAnsi"/>
          <w:bCs/>
          <w:color w:val="000000"/>
        </w:rPr>
      </w:pPr>
      <w:r w:rsidRPr="00515CF0">
        <w:rPr>
          <w:rFonts w:asciiTheme="majorHAnsi" w:hAnsiTheme="majorHAnsi" w:cstheme="majorHAnsi"/>
        </w:rPr>
        <w:t>The documentation will hinge on descriptive work focused</w:t>
      </w:r>
      <w:r w:rsidR="0030628E" w:rsidRPr="00515CF0">
        <w:rPr>
          <w:rFonts w:asciiTheme="majorHAnsi" w:hAnsiTheme="majorHAnsi" w:cstheme="majorHAnsi"/>
        </w:rPr>
        <w:t xml:space="preserve"> on planning, initiation</w:t>
      </w:r>
      <w:r w:rsidR="00B27441" w:rsidRPr="00515CF0">
        <w:rPr>
          <w:rFonts w:asciiTheme="majorHAnsi" w:hAnsiTheme="majorHAnsi" w:cstheme="majorHAnsi"/>
        </w:rPr>
        <w:t xml:space="preserve"> and </w:t>
      </w:r>
      <w:r w:rsidR="00765C59" w:rsidRPr="00515CF0">
        <w:rPr>
          <w:rFonts w:asciiTheme="majorHAnsi" w:hAnsiTheme="majorHAnsi" w:cstheme="majorHAnsi"/>
        </w:rPr>
        <w:t xml:space="preserve">a </w:t>
      </w:r>
      <w:r w:rsidR="00B27441" w:rsidRPr="00515CF0">
        <w:rPr>
          <w:rFonts w:asciiTheme="majorHAnsi" w:hAnsiTheme="majorHAnsi" w:cstheme="majorHAnsi"/>
        </w:rPr>
        <w:t>gradual scale</w:t>
      </w:r>
      <w:r w:rsidR="00BE4A55">
        <w:rPr>
          <w:rFonts w:asciiTheme="majorHAnsi" w:hAnsiTheme="majorHAnsi" w:cstheme="majorHAnsi"/>
        </w:rPr>
        <w:t>-</w:t>
      </w:r>
      <w:r w:rsidR="00B27441" w:rsidRPr="00515CF0">
        <w:rPr>
          <w:rFonts w:asciiTheme="majorHAnsi" w:hAnsiTheme="majorHAnsi" w:cstheme="majorHAnsi"/>
        </w:rPr>
        <w:t xml:space="preserve">up </w:t>
      </w:r>
      <w:r w:rsidR="0030628E" w:rsidRPr="00515CF0">
        <w:rPr>
          <w:rFonts w:asciiTheme="majorHAnsi" w:hAnsiTheme="majorHAnsi" w:cstheme="majorHAnsi"/>
        </w:rPr>
        <w:t xml:space="preserve">the COVID-19 </w:t>
      </w:r>
      <w:r w:rsidRPr="00515CF0">
        <w:rPr>
          <w:rFonts w:asciiTheme="majorHAnsi" w:hAnsiTheme="majorHAnsi" w:cstheme="majorHAnsi"/>
        </w:rPr>
        <w:t xml:space="preserve">as a policy process. First, a timeline reporting the different key steps in the </w:t>
      </w:r>
      <w:r w:rsidR="00435E9B" w:rsidRPr="00515CF0">
        <w:rPr>
          <w:rFonts w:asciiTheme="majorHAnsi" w:hAnsiTheme="majorHAnsi" w:cstheme="majorHAnsi"/>
        </w:rPr>
        <w:t>scale</w:t>
      </w:r>
      <w:r w:rsidR="00C2571A">
        <w:rPr>
          <w:rFonts w:asciiTheme="majorHAnsi" w:hAnsiTheme="majorHAnsi" w:cstheme="majorHAnsi"/>
        </w:rPr>
        <w:t>-</w:t>
      </w:r>
      <w:r w:rsidR="00435E9B" w:rsidRPr="00515CF0">
        <w:rPr>
          <w:rFonts w:asciiTheme="majorHAnsi" w:hAnsiTheme="majorHAnsi" w:cstheme="majorHAnsi"/>
        </w:rPr>
        <w:t xml:space="preserve">up and the </w:t>
      </w:r>
      <w:r w:rsidR="00CB13F6" w:rsidRPr="00515CF0">
        <w:rPr>
          <w:rFonts w:asciiTheme="majorHAnsi" w:hAnsiTheme="majorHAnsi" w:cstheme="majorHAnsi"/>
        </w:rPr>
        <w:t>events</w:t>
      </w:r>
      <w:r w:rsidR="00435E9B" w:rsidRPr="00515CF0">
        <w:rPr>
          <w:rFonts w:asciiTheme="majorHAnsi" w:hAnsiTheme="majorHAnsi" w:cstheme="majorHAnsi"/>
        </w:rPr>
        <w:t xml:space="preserve"> that</w:t>
      </w:r>
      <w:r w:rsidRPr="00515CF0">
        <w:rPr>
          <w:rFonts w:asciiTheme="majorHAnsi" w:hAnsiTheme="majorHAnsi" w:cstheme="majorHAnsi"/>
        </w:rPr>
        <w:t xml:space="preserve"> triggered them will be produced. We will then investigate </w:t>
      </w:r>
      <w:r w:rsidRPr="00515CF0">
        <w:rPr>
          <w:rFonts w:asciiTheme="majorHAnsi" w:hAnsiTheme="majorHAnsi" w:cstheme="majorHAnsi"/>
          <w:b/>
          <w:bCs/>
        </w:rPr>
        <w:t>the dynamics (process, context, content and actors) that enable</w:t>
      </w:r>
      <w:r w:rsidR="00CB13F6" w:rsidRPr="00515CF0">
        <w:rPr>
          <w:rFonts w:asciiTheme="majorHAnsi" w:hAnsiTheme="majorHAnsi" w:cstheme="majorHAnsi"/>
          <w:b/>
          <w:bCs/>
        </w:rPr>
        <w:t>d</w:t>
      </w:r>
      <w:r w:rsidRPr="00515CF0">
        <w:rPr>
          <w:rFonts w:asciiTheme="majorHAnsi" w:hAnsiTheme="majorHAnsi" w:cstheme="majorHAnsi"/>
          <w:b/>
          <w:bCs/>
        </w:rPr>
        <w:t xml:space="preserve"> or hinder</w:t>
      </w:r>
      <w:r w:rsidR="00CB13F6" w:rsidRPr="00515CF0">
        <w:rPr>
          <w:rFonts w:asciiTheme="majorHAnsi" w:hAnsiTheme="majorHAnsi" w:cstheme="majorHAnsi"/>
          <w:b/>
          <w:bCs/>
        </w:rPr>
        <w:t>ed</w:t>
      </w:r>
      <w:r w:rsidRPr="00515CF0">
        <w:rPr>
          <w:rFonts w:asciiTheme="majorHAnsi" w:hAnsiTheme="majorHAnsi" w:cstheme="majorHAnsi"/>
          <w:b/>
          <w:bCs/>
        </w:rPr>
        <w:t xml:space="preserve"> the decision</w:t>
      </w:r>
      <w:r w:rsidR="00CB13F6" w:rsidRPr="00515CF0">
        <w:rPr>
          <w:rFonts w:asciiTheme="majorHAnsi" w:hAnsiTheme="majorHAnsi" w:cstheme="majorHAnsi"/>
          <w:b/>
          <w:bCs/>
        </w:rPr>
        <w:t>-making</w:t>
      </w:r>
      <w:r w:rsidRPr="00515CF0">
        <w:rPr>
          <w:rFonts w:asciiTheme="majorHAnsi" w:hAnsiTheme="majorHAnsi" w:cstheme="majorHAnsi"/>
          <w:b/>
          <w:bCs/>
        </w:rPr>
        <w:t xml:space="preserve"> and/or implementation of</w:t>
      </w:r>
      <w:r w:rsidR="0069268E" w:rsidRPr="00515CF0">
        <w:rPr>
          <w:rFonts w:asciiTheme="majorHAnsi" w:hAnsiTheme="majorHAnsi" w:cstheme="majorHAnsi"/>
          <w:b/>
          <w:bCs/>
        </w:rPr>
        <w:t xml:space="preserve"> </w:t>
      </w:r>
      <w:r w:rsidR="00CB13F6" w:rsidRPr="00515CF0">
        <w:rPr>
          <w:rFonts w:asciiTheme="majorHAnsi" w:hAnsiTheme="majorHAnsi" w:cstheme="majorHAnsi"/>
          <w:b/>
          <w:bCs/>
        </w:rPr>
        <w:t xml:space="preserve">the COVID-19 </w:t>
      </w:r>
      <w:r w:rsidR="00F23634" w:rsidRPr="00515CF0">
        <w:rPr>
          <w:rFonts w:asciiTheme="majorHAnsi" w:hAnsiTheme="majorHAnsi" w:cstheme="majorHAnsi"/>
          <w:b/>
          <w:bCs/>
        </w:rPr>
        <w:t xml:space="preserve">whole-the-government and health system response </w:t>
      </w:r>
      <w:r w:rsidR="0069268E" w:rsidRPr="00515CF0">
        <w:rPr>
          <w:rFonts w:asciiTheme="majorHAnsi" w:hAnsiTheme="majorHAnsi" w:cstheme="majorHAnsi"/>
          <w:b/>
          <w:bCs/>
        </w:rPr>
        <w:t xml:space="preserve">in </w:t>
      </w:r>
      <w:r w:rsidR="00F23634" w:rsidRPr="00515CF0">
        <w:rPr>
          <w:rFonts w:asciiTheme="majorHAnsi" w:hAnsiTheme="majorHAnsi" w:cstheme="majorHAnsi"/>
          <w:b/>
          <w:bCs/>
        </w:rPr>
        <w:t>Georgia</w:t>
      </w:r>
      <w:r w:rsidR="00C2571A">
        <w:rPr>
          <w:rFonts w:asciiTheme="majorHAnsi" w:hAnsiTheme="majorHAnsi" w:cstheme="majorHAnsi"/>
        </w:rPr>
        <w:t>,</w:t>
      </w:r>
      <w:r w:rsidRPr="00515CF0">
        <w:rPr>
          <w:rFonts w:asciiTheme="majorHAnsi" w:hAnsiTheme="majorHAnsi" w:cstheme="majorHAnsi"/>
        </w:rPr>
        <w:t xml:space="preserve"> </w:t>
      </w:r>
      <w:r w:rsidR="002725AA" w:rsidRPr="00515CF0">
        <w:rPr>
          <w:i/>
          <w:iCs/>
        </w:rPr>
        <w:t>why</w:t>
      </w:r>
      <w:r w:rsidR="002725AA" w:rsidRPr="00515CF0">
        <w:t xml:space="preserve"> and </w:t>
      </w:r>
      <w:r w:rsidR="002725AA" w:rsidRPr="00515CF0">
        <w:rPr>
          <w:i/>
          <w:iCs/>
        </w:rPr>
        <w:t>how</w:t>
      </w:r>
      <w:r w:rsidR="002725AA" w:rsidRPr="00515CF0">
        <w:t xml:space="preserve"> the policy response to COVID-19 was designed, implemented and the observed results achieved</w:t>
      </w:r>
      <w:r w:rsidR="00554198" w:rsidRPr="00515CF0">
        <w:rPr>
          <w:rFonts w:asciiTheme="majorHAnsi" w:hAnsiTheme="majorHAnsi" w:cstheme="majorHAnsi"/>
          <w:color w:val="000000"/>
        </w:rPr>
        <w:t xml:space="preserve">? </w:t>
      </w:r>
      <w:r w:rsidR="00211673" w:rsidRPr="00515CF0">
        <w:rPr>
          <w:rFonts w:asciiTheme="majorHAnsi" w:hAnsiTheme="majorHAnsi" w:cstheme="majorHAnsi"/>
          <w:color w:val="000000"/>
        </w:rPr>
        <w:t>What was the role of the Ministry in this process?</w:t>
      </w:r>
      <w:r w:rsidR="00211673" w:rsidRPr="00515CF0">
        <w:rPr>
          <w:rFonts w:asciiTheme="majorHAnsi" w:hAnsiTheme="majorHAnsi" w:cstheme="majorHAnsi"/>
          <w:b/>
          <w:bCs/>
          <w:color w:val="000000"/>
        </w:rPr>
        <w:t xml:space="preserve"> </w:t>
      </w:r>
      <w:r w:rsidR="0069268E" w:rsidRPr="00515CF0">
        <w:rPr>
          <w:rFonts w:asciiTheme="majorHAnsi" w:hAnsiTheme="majorHAnsi" w:cstheme="majorHAnsi"/>
          <w:bCs/>
          <w:color w:val="000000"/>
        </w:rPr>
        <w:t>Moreover</w:t>
      </w:r>
      <w:r w:rsidR="00554198" w:rsidRPr="00515CF0">
        <w:rPr>
          <w:rFonts w:asciiTheme="majorHAnsi" w:hAnsiTheme="majorHAnsi" w:cstheme="majorHAnsi"/>
          <w:b/>
          <w:bCs/>
          <w:color w:val="000000"/>
        </w:rPr>
        <w:t xml:space="preserve">, </w:t>
      </w:r>
      <w:r w:rsidR="00554198" w:rsidRPr="00515CF0">
        <w:rPr>
          <w:rFonts w:asciiTheme="majorHAnsi" w:hAnsiTheme="majorHAnsi" w:cstheme="majorHAnsi"/>
          <w:bCs/>
          <w:color w:val="000000"/>
        </w:rPr>
        <w:t xml:space="preserve">the study will </w:t>
      </w:r>
      <w:r w:rsidR="0063727A" w:rsidRPr="00515CF0">
        <w:rPr>
          <w:rFonts w:asciiTheme="majorHAnsi" w:hAnsiTheme="majorHAnsi" w:cstheme="majorHAnsi"/>
          <w:bCs/>
          <w:color w:val="000000"/>
        </w:rPr>
        <w:t xml:space="preserve">attempt </w:t>
      </w:r>
      <w:r w:rsidR="0063727A" w:rsidRPr="00515CF0">
        <w:rPr>
          <w:rFonts w:cstheme="minorHAnsi"/>
        </w:rPr>
        <w:t xml:space="preserve">to identify the prerequisites and factors that may have been important, if not decisive, in </w:t>
      </w:r>
      <w:r w:rsidR="00186D00" w:rsidRPr="00515CF0">
        <w:rPr>
          <w:rFonts w:cstheme="minorHAnsi"/>
        </w:rPr>
        <w:t>controlling</w:t>
      </w:r>
      <w:r w:rsidR="0063727A" w:rsidRPr="00515CF0">
        <w:rPr>
          <w:rFonts w:cstheme="minorHAnsi"/>
        </w:rPr>
        <w:t xml:space="preserve"> the COVID-19 outbreak in the country. </w:t>
      </w:r>
      <w:r w:rsidR="00554198" w:rsidRPr="00515CF0">
        <w:rPr>
          <w:rFonts w:asciiTheme="majorHAnsi" w:hAnsiTheme="majorHAnsi" w:cstheme="majorHAnsi"/>
          <w:bCs/>
          <w:color w:val="000000"/>
        </w:rPr>
        <w:t>The study will explore dynamic interactions</w:t>
      </w:r>
      <w:r w:rsidR="00E6272A" w:rsidRPr="00515CF0">
        <w:rPr>
          <w:rFonts w:asciiTheme="majorHAnsi" w:hAnsiTheme="majorHAnsi" w:cstheme="majorHAnsi"/>
          <w:bCs/>
          <w:color w:val="000000"/>
        </w:rPr>
        <w:t xml:space="preserve"> between the </w:t>
      </w:r>
      <w:r w:rsidR="009D7A38" w:rsidRPr="00515CF0">
        <w:rPr>
          <w:rFonts w:asciiTheme="majorHAnsi" w:hAnsiTheme="majorHAnsi" w:cstheme="majorHAnsi"/>
          <w:bCs/>
          <w:color w:val="000000"/>
        </w:rPr>
        <w:t>Ministry</w:t>
      </w:r>
      <w:r w:rsidR="00CB205B" w:rsidRPr="00515CF0">
        <w:rPr>
          <w:rFonts w:asciiTheme="majorHAnsi" w:hAnsiTheme="majorHAnsi" w:cstheme="majorHAnsi"/>
          <w:bCs/>
          <w:color w:val="000000"/>
        </w:rPr>
        <w:t xml:space="preserve"> and </w:t>
      </w:r>
      <w:r w:rsidR="00EB76BC" w:rsidRPr="00515CF0">
        <w:rPr>
          <w:rFonts w:asciiTheme="majorHAnsi" w:hAnsiTheme="majorHAnsi" w:cstheme="majorHAnsi"/>
          <w:bCs/>
          <w:color w:val="000000"/>
        </w:rPr>
        <w:t>agencies, members of the</w:t>
      </w:r>
      <w:r w:rsidR="009D7A38" w:rsidRPr="00515CF0">
        <w:rPr>
          <w:rFonts w:asciiTheme="majorHAnsi" w:hAnsiTheme="majorHAnsi" w:cstheme="majorHAnsi"/>
          <w:bCs/>
          <w:color w:val="000000"/>
        </w:rPr>
        <w:t xml:space="preserve"> Inter</w:t>
      </w:r>
      <w:r w:rsidR="00E60549" w:rsidRPr="00515CF0">
        <w:rPr>
          <w:rFonts w:asciiTheme="majorHAnsi" w:hAnsiTheme="majorHAnsi" w:cstheme="majorHAnsi"/>
          <w:bCs/>
          <w:color w:val="000000"/>
        </w:rPr>
        <w:t>a</w:t>
      </w:r>
      <w:r w:rsidR="009D7A38" w:rsidRPr="00515CF0">
        <w:rPr>
          <w:rFonts w:asciiTheme="majorHAnsi" w:hAnsiTheme="majorHAnsi" w:cstheme="majorHAnsi"/>
          <w:bCs/>
          <w:color w:val="000000"/>
        </w:rPr>
        <w:t>ge</w:t>
      </w:r>
      <w:r w:rsidR="00E60549" w:rsidRPr="00515CF0">
        <w:rPr>
          <w:rFonts w:asciiTheme="majorHAnsi" w:hAnsiTheme="majorHAnsi" w:cstheme="majorHAnsi"/>
          <w:bCs/>
          <w:color w:val="000000"/>
        </w:rPr>
        <w:t>n</w:t>
      </w:r>
      <w:r w:rsidR="009D7A38" w:rsidRPr="00515CF0">
        <w:rPr>
          <w:rFonts w:asciiTheme="majorHAnsi" w:hAnsiTheme="majorHAnsi" w:cstheme="majorHAnsi"/>
          <w:bCs/>
          <w:color w:val="000000"/>
        </w:rPr>
        <w:t xml:space="preserve">cy </w:t>
      </w:r>
      <w:r w:rsidR="00E60549" w:rsidRPr="00515CF0">
        <w:rPr>
          <w:rFonts w:asciiTheme="majorHAnsi" w:hAnsiTheme="majorHAnsi" w:cstheme="majorHAnsi"/>
          <w:bCs/>
          <w:color w:val="000000"/>
        </w:rPr>
        <w:t>Coordination Council (ICC)</w:t>
      </w:r>
      <w:r w:rsidR="00EB76BC" w:rsidRPr="00515CF0">
        <w:rPr>
          <w:rFonts w:asciiTheme="majorHAnsi" w:hAnsiTheme="majorHAnsi" w:cstheme="majorHAnsi"/>
          <w:bCs/>
          <w:color w:val="000000"/>
        </w:rPr>
        <w:t xml:space="preserve"> </w:t>
      </w:r>
      <w:r w:rsidR="00205943" w:rsidRPr="00515CF0">
        <w:rPr>
          <w:rFonts w:asciiTheme="majorHAnsi" w:hAnsiTheme="majorHAnsi" w:cstheme="majorHAnsi"/>
          <w:bCs/>
          <w:color w:val="000000"/>
        </w:rPr>
        <w:t>responsible</w:t>
      </w:r>
      <w:r w:rsidR="00EB76BC" w:rsidRPr="00515CF0">
        <w:rPr>
          <w:rFonts w:asciiTheme="majorHAnsi" w:hAnsiTheme="majorHAnsi" w:cstheme="majorHAnsi"/>
          <w:bCs/>
          <w:color w:val="000000"/>
        </w:rPr>
        <w:t xml:space="preserve"> for the </w:t>
      </w:r>
      <w:r w:rsidR="00161989" w:rsidRPr="00515CF0">
        <w:rPr>
          <w:rFonts w:asciiTheme="majorHAnsi" w:hAnsiTheme="majorHAnsi" w:cstheme="majorHAnsi"/>
          <w:bCs/>
          <w:color w:val="000000"/>
        </w:rPr>
        <w:t>whole-the-government</w:t>
      </w:r>
      <w:r w:rsidR="00EB76BC" w:rsidRPr="00515CF0">
        <w:rPr>
          <w:rFonts w:asciiTheme="majorHAnsi" w:hAnsiTheme="majorHAnsi" w:cstheme="majorHAnsi"/>
          <w:bCs/>
          <w:color w:val="000000"/>
        </w:rPr>
        <w:t xml:space="preserve"> </w:t>
      </w:r>
      <w:r w:rsidR="00205943" w:rsidRPr="00515CF0">
        <w:rPr>
          <w:rFonts w:asciiTheme="majorHAnsi" w:hAnsiTheme="majorHAnsi" w:cstheme="majorHAnsi"/>
          <w:bCs/>
          <w:color w:val="000000"/>
        </w:rPr>
        <w:t>response</w:t>
      </w:r>
      <w:r w:rsidR="00E60549" w:rsidRPr="00515CF0">
        <w:rPr>
          <w:rFonts w:asciiTheme="majorHAnsi" w:hAnsiTheme="majorHAnsi" w:cstheme="majorHAnsi"/>
          <w:bCs/>
          <w:color w:val="000000"/>
        </w:rPr>
        <w:t xml:space="preserve"> </w:t>
      </w:r>
      <w:r w:rsidR="009D7A38" w:rsidRPr="00515CF0">
        <w:rPr>
          <w:rFonts w:asciiTheme="majorHAnsi" w:hAnsiTheme="majorHAnsi" w:cstheme="majorHAnsi"/>
          <w:bCs/>
          <w:color w:val="000000"/>
        </w:rPr>
        <w:t xml:space="preserve">and </w:t>
      </w:r>
      <w:r w:rsidR="00205943" w:rsidRPr="00515CF0">
        <w:rPr>
          <w:rFonts w:asciiTheme="majorHAnsi" w:hAnsiTheme="majorHAnsi" w:cstheme="majorHAnsi"/>
          <w:bCs/>
          <w:color w:val="000000"/>
        </w:rPr>
        <w:t>other</w:t>
      </w:r>
      <w:r w:rsidR="00E6272A" w:rsidRPr="00515CF0">
        <w:rPr>
          <w:rFonts w:asciiTheme="majorHAnsi" w:hAnsiTheme="majorHAnsi" w:cstheme="majorHAnsi"/>
          <w:bCs/>
          <w:color w:val="000000"/>
        </w:rPr>
        <w:t xml:space="preserve"> stak</w:t>
      </w:r>
      <w:r w:rsidR="00186D00" w:rsidRPr="00515CF0">
        <w:rPr>
          <w:rFonts w:asciiTheme="majorHAnsi" w:hAnsiTheme="majorHAnsi" w:cstheme="majorHAnsi"/>
          <w:bCs/>
          <w:color w:val="000000"/>
        </w:rPr>
        <w:t>e</w:t>
      </w:r>
      <w:r w:rsidR="00E6272A" w:rsidRPr="00515CF0">
        <w:rPr>
          <w:rFonts w:asciiTheme="majorHAnsi" w:hAnsiTheme="majorHAnsi" w:cstheme="majorHAnsi"/>
          <w:bCs/>
          <w:color w:val="000000"/>
        </w:rPr>
        <w:t xml:space="preserve">holders organizing </w:t>
      </w:r>
      <w:r w:rsidR="00205943" w:rsidRPr="00515CF0">
        <w:rPr>
          <w:rFonts w:asciiTheme="majorHAnsi" w:hAnsiTheme="majorHAnsi" w:cstheme="majorHAnsi"/>
          <w:bCs/>
          <w:color w:val="000000"/>
        </w:rPr>
        <w:t xml:space="preserve">and implementing </w:t>
      </w:r>
      <w:r w:rsidR="00E6272A" w:rsidRPr="00515CF0">
        <w:rPr>
          <w:rFonts w:asciiTheme="majorHAnsi" w:hAnsiTheme="majorHAnsi" w:cstheme="majorHAnsi"/>
          <w:bCs/>
          <w:color w:val="000000"/>
        </w:rPr>
        <w:t>the response measure</w:t>
      </w:r>
      <w:r w:rsidR="00205943" w:rsidRPr="00515CF0">
        <w:rPr>
          <w:rFonts w:asciiTheme="majorHAnsi" w:hAnsiTheme="majorHAnsi" w:cstheme="majorHAnsi"/>
          <w:bCs/>
          <w:color w:val="000000"/>
        </w:rPr>
        <w:t>s</w:t>
      </w:r>
      <w:r w:rsidR="007077B7" w:rsidRPr="00515CF0">
        <w:rPr>
          <w:rFonts w:asciiTheme="majorHAnsi" w:hAnsiTheme="majorHAnsi" w:cstheme="majorHAnsi"/>
          <w:bCs/>
          <w:color w:val="000000"/>
        </w:rPr>
        <w:t xml:space="preserve"> on </w:t>
      </w:r>
      <w:r w:rsidR="00554198" w:rsidRPr="00515CF0">
        <w:rPr>
          <w:rFonts w:asciiTheme="majorHAnsi" w:hAnsiTheme="majorHAnsi" w:cstheme="majorHAnsi"/>
          <w:bCs/>
          <w:color w:val="000000"/>
        </w:rPr>
        <w:t>how t</w:t>
      </w:r>
      <w:r w:rsidR="00205943" w:rsidRPr="00515CF0">
        <w:rPr>
          <w:rFonts w:asciiTheme="majorHAnsi" w:hAnsiTheme="majorHAnsi" w:cstheme="majorHAnsi"/>
          <w:bCs/>
          <w:color w:val="000000"/>
        </w:rPr>
        <w:t>he decisions were made and implemented</w:t>
      </w:r>
      <w:r w:rsidR="007077B7" w:rsidRPr="00515CF0">
        <w:rPr>
          <w:rFonts w:asciiTheme="majorHAnsi" w:hAnsiTheme="majorHAnsi" w:cstheme="majorHAnsi"/>
          <w:bCs/>
          <w:color w:val="000000"/>
        </w:rPr>
        <w:t xml:space="preserve"> and</w:t>
      </w:r>
      <w:r w:rsidR="00664E95" w:rsidRPr="00515CF0">
        <w:rPr>
          <w:rFonts w:asciiTheme="majorHAnsi" w:hAnsiTheme="majorHAnsi" w:cstheme="majorHAnsi"/>
          <w:bCs/>
          <w:color w:val="000000"/>
        </w:rPr>
        <w:t xml:space="preserve"> to what </w:t>
      </w:r>
      <w:r w:rsidR="0051667D" w:rsidRPr="00515CF0">
        <w:rPr>
          <w:rFonts w:asciiTheme="majorHAnsi" w:hAnsiTheme="majorHAnsi" w:cstheme="majorHAnsi"/>
          <w:bCs/>
          <w:color w:val="000000"/>
        </w:rPr>
        <w:t>extent</w:t>
      </w:r>
      <w:r w:rsidR="00664E95" w:rsidRPr="00515CF0">
        <w:rPr>
          <w:rFonts w:asciiTheme="majorHAnsi" w:hAnsiTheme="majorHAnsi" w:cstheme="majorHAnsi"/>
          <w:bCs/>
          <w:color w:val="000000"/>
        </w:rPr>
        <w:t xml:space="preserve"> the </w:t>
      </w:r>
      <w:r w:rsidR="0051667D" w:rsidRPr="00515CF0">
        <w:rPr>
          <w:rFonts w:asciiTheme="majorHAnsi" w:hAnsiTheme="majorHAnsi" w:cstheme="majorHAnsi"/>
          <w:bCs/>
          <w:color w:val="000000"/>
        </w:rPr>
        <w:t>Ministry</w:t>
      </w:r>
      <w:r w:rsidR="00664E95" w:rsidRPr="00515CF0">
        <w:rPr>
          <w:rFonts w:asciiTheme="majorHAnsi" w:hAnsiTheme="majorHAnsi" w:cstheme="majorHAnsi"/>
          <w:bCs/>
          <w:color w:val="000000"/>
        </w:rPr>
        <w:t xml:space="preserve"> inf</w:t>
      </w:r>
      <w:r w:rsidR="0051667D" w:rsidRPr="00515CF0">
        <w:rPr>
          <w:rFonts w:asciiTheme="majorHAnsi" w:hAnsiTheme="majorHAnsi" w:cstheme="majorHAnsi"/>
          <w:bCs/>
          <w:color w:val="000000"/>
        </w:rPr>
        <w:t>lue</w:t>
      </w:r>
      <w:r w:rsidR="00664E95" w:rsidRPr="00515CF0">
        <w:rPr>
          <w:rFonts w:asciiTheme="majorHAnsi" w:hAnsiTheme="majorHAnsi" w:cstheme="majorHAnsi"/>
          <w:bCs/>
          <w:color w:val="000000"/>
        </w:rPr>
        <w:t>nced the decision-making and implementation</w:t>
      </w:r>
      <w:r w:rsidR="00205943" w:rsidRPr="00515CF0">
        <w:rPr>
          <w:rFonts w:asciiTheme="majorHAnsi" w:hAnsiTheme="majorHAnsi" w:cstheme="majorHAnsi"/>
          <w:bCs/>
          <w:color w:val="000000"/>
        </w:rPr>
        <w:t>.</w:t>
      </w:r>
      <w:r w:rsidR="00554198" w:rsidRPr="00515CF0">
        <w:rPr>
          <w:rFonts w:asciiTheme="majorHAnsi" w:hAnsiTheme="majorHAnsi" w:cstheme="majorHAnsi"/>
          <w:bCs/>
          <w:color w:val="000000"/>
        </w:rPr>
        <w:t xml:space="preserve"> </w:t>
      </w:r>
    </w:p>
    <w:p w14:paraId="0E52B106" w14:textId="77777777" w:rsidR="00982AA3" w:rsidRPr="00515CF0" w:rsidRDefault="0021352B" w:rsidP="00F16257">
      <w:pPr>
        <w:jc w:val="both"/>
        <w:rPr>
          <w:rFonts w:asciiTheme="majorHAnsi" w:hAnsiTheme="majorHAnsi" w:cstheme="majorHAnsi"/>
          <w:b/>
          <w:sz w:val="26"/>
        </w:rPr>
      </w:pPr>
      <w:r w:rsidRPr="00515CF0">
        <w:rPr>
          <w:rFonts w:asciiTheme="majorHAnsi" w:hAnsiTheme="majorHAnsi" w:cstheme="majorHAnsi"/>
          <w:b/>
          <w:sz w:val="26"/>
        </w:rPr>
        <w:t>Study Research Questions and Objectives</w:t>
      </w:r>
    </w:p>
    <w:p w14:paraId="155DF5A5" w14:textId="2BFBFD8F" w:rsidR="00DD39D2" w:rsidRPr="00515CF0" w:rsidRDefault="00DD39D2" w:rsidP="00F16257">
      <w:pPr>
        <w:widowControl w:val="0"/>
        <w:spacing w:before="220"/>
        <w:jc w:val="both"/>
        <w:rPr>
          <w:rFonts w:asciiTheme="majorHAnsi" w:hAnsiTheme="majorHAnsi" w:cstheme="majorHAnsi"/>
          <w:snapToGrid w:val="0"/>
        </w:rPr>
      </w:pPr>
      <w:r w:rsidRPr="00515CF0">
        <w:rPr>
          <w:rFonts w:asciiTheme="majorHAnsi" w:hAnsiTheme="majorHAnsi" w:cstheme="majorHAnsi"/>
          <w:snapToGrid w:val="0"/>
        </w:rPr>
        <w:t>The key hypothesis underlying the case study is that policy process</w:t>
      </w:r>
      <w:r w:rsidR="0085078C" w:rsidRPr="00515CF0">
        <w:rPr>
          <w:rFonts w:asciiTheme="majorHAnsi" w:hAnsiTheme="majorHAnsi" w:cstheme="majorHAnsi"/>
          <w:snapToGrid w:val="0"/>
        </w:rPr>
        <w:t xml:space="preserve">es </w:t>
      </w:r>
      <w:r w:rsidRPr="00515CF0">
        <w:rPr>
          <w:rFonts w:asciiTheme="majorHAnsi" w:hAnsiTheme="majorHAnsi" w:cstheme="majorHAnsi"/>
          <w:snapToGrid w:val="0"/>
        </w:rPr>
        <w:t xml:space="preserve">and actors involved in the design and implementation of the </w:t>
      </w:r>
      <w:r w:rsidR="00954BE3" w:rsidRPr="00515CF0">
        <w:rPr>
          <w:rFonts w:asciiTheme="majorHAnsi" w:hAnsiTheme="majorHAnsi" w:cstheme="majorHAnsi"/>
          <w:snapToGrid w:val="0"/>
        </w:rPr>
        <w:t>COVID-19 response</w:t>
      </w:r>
      <w:r w:rsidRPr="00515CF0">
        <w:rPr>
          <w:rFonts w:asciiTheme="majorHAnsi" w:hAnsiTheme="majorHAnsi" w:cstheme="majorHAnsi"/>
          <w:snapToGrid w:val="0"/>
        </w:rPr>
        <w:t xml:space="preserve">, along with the changing </w:t>
      </w:r>
      <w:r w:rsidR="00C77BAB" w:rsidRPr="00515CF0">
        <w:rPr>
          <w:rFonts w:asciiTheme="majorHAnsi" w:hAnsiTheme="majorHAnsi" w:cstheme="majorHAnsi"/>
          <w:snapToGrid w:val="0"/>
        </w:rPr>
        <w:t xml:space="preserve">global and national </w:t>
      </w:r>
      <w:r w:rsidRPr="00515CF0">
        <w:rPr>
          <w:rFonts w:asciiTheme="majorHAnsi" w:hAnsiTheme="majorHAnsi" w:cstheme="majorHAnsi"/>
          <w:snapToGrid w:val="0"/>
        </w:rPr>
        <w:t xml:space="preserve">policy context and </w:t>
      </w:r>
      <w:r w:rsidR="00C77BAB" w:rsidRPr="00515CF0">
        <w:rPr>
          <w:rFonts w:asciiTheme="majorHAnsi" w:hAnsiTheme="majorHAnsi" w:cstheme="majorHAnsi"/>
          <w:snapToGrid w:val="0"/>
        </w:rPr>
        <w:t xml:space="preserve">evolving policy </w:t>
      </w:r>
      <w:r w:rsidRPr="00515CF0">
        <w:rPr>
          <w:rFonts w:asciiTheme="majorHAnsi" w:hAnsiTheme="majorHAnsi" w:cstheme="majorHAnsi"/>
          <w:snapToGrid w:val="0"/>
        </w:rPr>
        <w:t>content ha</w:t>
      </w:r>
      <w:r w:rsidR="0085078C" w:rsidRPr="00515CF0">
        <w:rPr>
          <w:rFonts w:asciiTheme="majorHAnsi" w:hAnsiTheme="majorHAnsi" w:cstheme="majorHAnsi"/>
          <w:snapToGrid w:val="0"/>
        </w:rPr>
        <w:t>ve</w:t>
      </w:r>
      <w:r w:rsidRPr="00515CF0">
        <w:rPr>
          <w:rFonts w:asciiTheme="majorHAnsi" w:hAnsiTheme="majorHAnsi" w:cstheme="majorHAnsi"/>
          <w:snapToGrid w:val="0"/>
        </w:rPr>
        <w:t xml:space="preserve"> determined the </w:t>
      </w:r>
      <w:r w:rsidR="00C77BAB" w:rsidRPr="00515CF0">
        <w:rPr>
          <w:rFonts w:asciiTheme="majorHAnsi" w:hAnsiTheme="majorHAnsi" w:cstheme="majorHAnsi"/>
          <w:snapToGrid w:val="0"/>
        </w:rPr>
        <w:t>response</w:t>
      </w:r>
      <w:r w:rsidRPr="00515CF0">
        <w:rPr>
          <w:rFonts w:asciiTheme="majorHAnsi" w:hAnsiTheme="majorHAnsi" w:cstheme="majorHAnsi"/>
          <w:snapToGrid w:val="0"/>
        </w:rPr>
        <w:t xml:space="preserve"> </w:t>
      </w:r>
      <w:r w:rsidR="00C77BAB" w:rsidRPr="00515CF0">
        <w:rPr>
          <w:rFonts w:asciiTheme="majorHAnsi" w:hAnsiTheme="majorHAnsi" w:cstheme="majorHAnsi"/>
          <w:snapToGrid w:val="0"/>
        </w:rPr>
        <w:t xml:space="preserve">results </w:t>
      </w:r>
      <w:r w:rsidRPr="00515CF0">
        <w:rPr>
          <w:rFonts w:asciiTheme="majorHAnsi" w:hAnsiTheme="majorHAnsi" w:cstheme="majorHAnsi"/>
          <w:snapToGrid w:val="0"/>
        </w:rPr>
        <w:t xml:space="preserve">in </w:t>
      </w:r>
      <w:r w:rsidR="00C77BAB" w:rsidRPr="00515CF0">
        <w:rPr>
          <w:rFonts w:asciiTheme="majorHAnsi" w:hAnsiTheme="majorHAnsi" w:cstheme="majorHAnsi"/>
          <w:snapToGrid w:val="0"/>
        </w:rPr>
        <w:t>Georgia</w:t>
      </w:r>
      <w:r w:rsidRPr="00515CF0">
        <w:rPr>
          <w:rFonts w:asciiTheme="majorHAnsi" w:hAnsiTheme="majorHAnsi" w:cstheme="majorHAnsi"/>
          <w:snapToGrid w:val="0"/>
        </w:rPr>
        <w:t xml:space="preserve">. </w:t>
      </w:r>
      <w:r w:rsidR="0085078C" w:rsidRPr="00515CF0">
        <w:rPr>
          <w:rFonts w:asciiTheme="majorHAnsi" w:hAnsiTheme="majorHAnsi" w:cstheme="majorHAnsi"/>
          <w:snapToGrid w:val="0"/>
        </w:rPr>
        <w:t>T</w:t>
      </w:r>
      <w:r w:rsidRPr="00515CF0">
        <w:rPr>
          <w:rFonts w:asciiTheme="majorHAnsi" w:hAnsiTheme="majorHAnsi" w:cstheme="majorHAnsi"/>
          <w:snapToGrid w:val="0"/>
        </w:rPr>
        <w:t xml:space="preserve">he key research question is: </w:t>
      </w:r>
      <w:r w:rsidRPr="00515CF0">
        <w:rPr>
          <w:rFonts w:asciiTheme="majorHAnsi" w:hAnsiTheme="majorHAnsi" w:cstheme="majorHAnsi"/>
          <w:i/>
          <w:snapToGrid w:val="0"/>
        </w:rPr>
        <w:t>What are the policy dynamics</w:t>
      </w:r>
      <w:r w:rsidR="00070F89" w:rsidRPr="00515CF0">
        <w:rPr>
          <w:rFonts w:asciiTheme="majorHAnsi" w:hAnsiTheme="majorHAnsi" w:cstheme="majorHAnsi"/>
          <w:i/>
          <w:snapToGrid w:val="0"/>
        </w:rPr>
        <w:t xml:space="preserve"> and </w:t>
      </w:r>
      <w:r w:rsidR="00E83763" w:rsidRPr="00515CF0">
        <w:rPr>
          <w:rFonts w:asciiTheme="majorHAnsi" w:hAnsiTheme="majorHAnsi" w:cstheme="majorHAnsi"/>
          <w:i/>
          <w:snapToGrid w:val="0"/>
        </w:rPr>
        <w:t xml:space="preserve">an extent of </w:t>
      </w:r>
      <w:r w:rsidR="00070F89" w:rsidRPr="00515CF0">
        <w:rPr>
          <w:rFonts w:asciiTheme="majorHAnsi" w:hAnsiTheme="majorHAnsi" w:cstheme="majorHAnsi"/>
          <w:i/>
          <w:snapToGrid w:val="0"/>
        </w:rPr>
        <w:t xml:space="preserve">influence of the Ministry </w:t>
      </w:r>
      <w:r w:rsidR="005F3F02" w:rsidRPr="00515CF0">
        <w:rPr>
          <w:rFonts w:asciiTheme="majorHAnsi" w:hAnsiTheme="majorHAnsi" w:cstheme="majorHAnsi"/>
          <w:i/>
          <w:snapToGrid w:val="0"/>
        </w:rPr>
        <w:t xml:space="preserve">of IDPs from </w:t>
      </w:r>
      <w:r w:rsidR="005F3F02" w:rsidRPr="00515CF0">
        <w:rPr>
          <w:rFonts w:asciiTheme="majorHAnsi" w:hAnsiTheme="majorHAnsi" w:cstheme="majorHAnsi"/>
          <w:i/>
          <w:snapToGrid w:val="0"/>
        </w:rPr>
        <w:lastRenderedPageBreak/>
        <w:t>Occupied Territories, Labour, Health and Social Affairs</w:t>
      </w:r>
      <w:r w:rsidRPr="00515CF0">
        <w:rPr>
          <w:rFonts w:asciiTheme="majorHAnsi" w:hAnsiTheme="majorHAnsi" w:cstheme="majorHAnsi"/>
          <w:i/>
          <w:snapToGrid w:val="0"/>
        </w:rPr>
        <w:t xml:space="preserve"> that enable</w:t>
      </w:r>
      <w:r w:rsidR="00836955" w:rsidRPr="00515CF0">
        <w:rPr>
          <w:rFonts w:asciiTheme="majorHAnsi" w:hAnsiTheme="majorHAnsi" w:cstheme="majorHAnsi"/>
          <w:i/>
          <w:snapToGrid w:val="0"/>
        </w:rPr>
        <w:t>d</w:t>
      </w:r>
      <w:r w:rsidRPr="00515CF0">
        <w:rPr>
          <w:rFonts w:asciiTheme="majorHAnsi" w:hAnsiTheme="majorHAnsi" w:cstheme="majorHAnsi"/>
          <w:i/>
          <w:snapToGrid w:val="0"/>
        </w:rPr>
        <w:t xml:space="preserve"> or hinder</w:t>
      </w:r>
      <w:r w:rsidR="00836955" w:rsidRPr="00515CF0">
        <w:rPr>
          <w:rFonts w:asciiTheme="majorHAnsi" w:hAnsiTheme="majorHAnsi" w:cstheme="majorHAnsi"/>
          <w:i/>
          <w:snapToGrid w:val="0"/>
        </w:rPr>
        <w:t>ed the</w:t>
      </w:r>
      <w:r w:rsidRPr="00515CF0">
        <w:rPr>
          <w:rFonts w:asciiTheme="majorHAnsi" w:hAnsiTheme="majorHAnsi" w:cstheme="majorHAnsi"/>
          <w:i/>
          <w:snapToGrid w:val="0"/>
        </w:rPr>
        <w:t xml:space="preserve"> </w:t>
      </w:r>
      <w:r w:rsidR="00F9591B" w:rsidRPr="00515CF0">
        <w:rPr>
          <w:rFonts w:asciiTheme="majorHAnsi" w:hAnsiTheme="majorHAnsi" w:cstheme="majorHAnsi"/>
          <w:i/>
          <w:snapToGrid w:val="0"/>
        </w:rPr>
        <w:t>CO</w:t>
      </w:r>
      <w:r w:rsidR="006A083D" w:rsidRPr="00515CF0">
        <w:rPr>
          <w:rFonts w:asciiTheme="majorHAnsi" w:hAnsiTheme="majorHAnsi" w:cstheme="majorHAnsi"/>
          <w:i/>
          <w:snapToGrid w:val="0"/>
        </w:rPr>
        <w:t>V</w:t>
      </w:r>
      <w:r w:rsidR="00F9591B" w:rsidRPr="00515CF0">
        <w:rPr>
          <w:rFonts w:asciiTheme="majorHAnsi" w:hAnsiTheme="majorHAnsi" w:cstheme="majorHAnsi"/>
          <w:i/>
          <w:snapToGrid w:val="0"/>
        </w:rPr>
        <w:t>ID-19 response</w:t>
      </w:r>
      <w:r w:rsidRPr="00515CF0">
        <w:rPr>
          <w:rFonts w:asciiTheme="majorHAnsi" w:hAnsiTheme="majorHAnsi" w:cstheme="majorHAnsi"/>
          <w:i/>
          <w:snapToGrid w:val="0"/>
        </w:rPr>
        <w:t xml:space="preserve"> decisions and/or implementation</w:t>
      </w:r>
      <w:r w:rsidR="009D7CB5" w:rsidRPr="00515CF0">
        <w:rPr>
          <w:rFonts w:asciiTheme="majorHAnsi" w:hAnsiTheme="majorHAnsi" w:cstheme="majorHAnsi"/>
          <w:i/>
          <w:snapToGrid w:val="0"/>
        </w:rPr>
        <w:t xml:space="preserve"> in </w:t>
      </w:r>
      <w:r w:rsidR="00F9591B" w:rsidRPr="00515CF0">
        <w:rPr>
          <w:rFonts w:asciiTheme="majorHAnsi" w:hAnsiTheme="majorHAnsi" w:cstheme="majorHAnsi"/>
          <w:i/>
          <w:snapToGrid w:val="0"/>
        </w:rPr>
        <w:t>Georgia</w:t>
      </w:r>
      <w:r w:rsidRPr="00515CF0">
        <w:rPr>
          <w:rFonts w:asciiTheme="majorHAnsi" w:hAnsiTheme="majorHAnsi" w:cstheme="majorHAnsi"/>
          <w:i/>
          <w:snapToGrid w:val="0"/>
        </w:rPr>
        <w:t>?</w:t>
      </w:r>
    </w:p>
    <w:p w14:paraId="50A572D6" w14:textId="77777777" w:rsidR="00DD39D2" w:rsidRPr="00515CF0" w:rsidRDefault="00DD39D2" w:rsidP="00F16257">
      <w:pPr>
        <w:widowControl w:val="0"/>
        <w:spacing w:before="220"/>
        <w:jc w:val="both"/>
        <w:rPr>
          <w:rFonts w:asciiTheme="majorHAnsi" w:hAnsiTheme="majorHAnsi" w:cstheme="majorHAnsi"/>
          <w:snapToGrid w:val="0"/>
        </w:rPr>
      </w:pPr>
      <w:r w:rsidRPr="00515CF0">
        <w:rPr>
          <w:rFonts w:asciiTheme="majorHAnsi" w:hAnsiTheme="majorHAnsi" w:cstheme="majorHAnsi"/>
          <w:snapToGrid w:val="0"/>
        </w:rPr>
        <w:t xml:space="preserve">Detailed research questions include: </w:t>
      </w:r>
    </w:p>
    <w:p w14:paraId="252AC94A" w14:textId="3C672754" w:rsidR="004B28A8" w:rsidRPr="00515CF0" w:rsidRDefault="004B28A8" w:rsidP="00F16257">
      <w:pPr>
        <w:pStyle w:val="ListParagraph"/>
        <w:numPr>
          <w:ilvl w:val="0"/>
          <w:numId w:val="43"/>
        </w:numPr>
        <w:spacing w:before="0" w:after="0" w:line="240" w:lineRule="auto"/>
        <w:jc w:val="both"/>
        <w:rPr>
          <w:lang w:val="en-US"/>
        </w:rPr>
      </w:pPr>
      <w:r w:rsidRPr="00515CF0">
        <w:rPr>
          <w:lang w:val="en-US"/>
        </w:rPr>
        <w:t xml:space="preserve">Who has taken decisions regarding the management of COVID-19? What was the role of the </w:t>
      </w:r>
      <w:r w:rsidR="004552BC">
        <w:rPr>
          <w:lang w:val="en-US"/>
        </w:rPr>
        <w:t>M</w:t>
      </w:r>
      <w:r w:rsidRPr="00515CF0">
        <w:rPr>
          <w:lang w:val="en-US"/>
        </w:rPr>
        <w:t xml:space="preserve">inistry of health in taking decisions regarding the management of COVID-19? </w:t>
      </w:r>
    </w:p>
    <w:p w14:paraId="1218508C" w14:textId="77777777" w:rsidR="004B28A8" w:rsidRPr="00515CF0" w:rsidRDefault="004B28A8" w:rsidP="00F16257">
      <w:pPr>
        <w:pStyle w:val="ListParagraph"/>
        <w:spacing w:before="0" w:after="0" w:line="240" w:lineRule="auto"/>
        <w:jc w:val="both"/>
        <w:rPr>
          <w:lang w:val="en-US"/>
        </w:rPr>
      </w:pPr>
    </w:p>
    <w:p w14:paraId="7578DCD8" w14:textId="5EAB383C" w:rsidR="004B28A8" w:rsidRPr="00515CF0" w:rsidRDefault="004B28A8" w:rsidP="00F16257">
      <w:pPr>
        <w:pStyle w:val="ListParagraph"/>
        <w:numPr>
          <w:ilvl w:val="0"/>
          <w:numId w:val="43"/>
        </w:numPr>
        <w:spacing w:before="0" w:after="0" w:line="240" w:lineRule="auto"/>
        <w:jc w:val="both"/>
        <w:rPr>
          <w:lang w:val="en-US"/>
        </w:rPr>
      </w:pPr>
      <w:r w:rsidRPr="00515CF0">
        <w:rPr>
          <w:lang w:val="en-US"/>
        </w:rPr>
        <w:t>If not the MOH, who has taken major decisions and why? What are the levels of influence of the different stakeholders</w:t>
      </w:r>
      <w:r w:rsidR="00C2571A">
        <w:rPr>
          <w:lang w:val="en-US"/>
        </w:rPr>
        <w:t>,</w:t>
      </w:r>
      <w:r w:rsidRPr="00515CF0">
        <w:rPr>
          <w:lang w:val="en-US"/>
        </w:rPr>
        <w:t xml:space="preserve"> and why do they have this influence?</w:t>
      </w:r>
    </w:p>
    <w:p w14:paraId="4E875875" w14:textId="77777777" w:rsidR="004B28A8" w:rsidRPr="00515CF0" w:rsidRDefault="004B28A8" w:rsidP="00F16257">
      <w:pPr>
        <w:spacing w:before="0"/>
        <w:jc w:val="both"/>
      </w:pPr>
    </w:p>
    <w:p w14:paraId="28A642C4" w14:textId="434541F9" w:rsidR="004B28A8" w:rsidRPr="00515CF0" w:rsidRDefault="004B28A8" w:rsidP="00F16257">
      <w:pPr>
        <w:pStyle w:val="ListParagraph"/>
        <w:numPr>
          <w:ilvl w:val="0"/>
          <w:numId w:val="43"/>
        </w:numPr>
        <w:spacing w:before="0" w:after="0" w:line="240" w:lineRule="auto"/>
        <w:jc w:val="both"/>
        <w:rPr>
          <w:lang w:val="en-US"/>
        </w:rPr>
      </w:pPr>
      <w:r w:rsidRPr="00515CF0">
        <w:rPr>
          <w:lang w:val="en-US"/>
        </w:rPr>
        <w:t>What was the contribution and role of public health/ national health institutions and international institutions in terms of the response to COVID</w:t>
      </w:r>
      <w:r w:rsidR="007858F8" w:rsidRPr="00515CF0">
        <w:rPr>
          <w:lang w:val="en-US"/>
        </w:rPr>
        <w:t>-</w:t>
      </w:r>
      <w:r w:rsidRPr="00515CF0">
        <w:rPr>
          <w:lang w:val="en-US"/>
        </w:rPr>
        <w:t xml:space="preserve">19? </w:t>
      </w:r>
    </w:p>
    <w:p w14:paraId="18F43AA8" w14:textId="77777777" w:rsidR="004B28A8" w:rsidRPr="00515CF0" w:rsidRDefault="004B28A8" w:rsidP="00F16257">
      <w:pPr>
        <w:spacing w:before="0"/>
        <w:jc w:val="both"/>
      </w:pPr>
    </w:p>
    <w:p w14:paraId="4DECBC94" w14:textId="69994D9B" w:rsidR="004B28A8" w:rsidRPr="00515CF0" w:rsidRDefault="004B28A8" w:rsidP="00F16257">
      <w:pPr>
        <w:pStyle w:val="ListParagraph"/>
        <w:numPr>
          <w:ilvl w:val="0"/>
          <w:numId w:val="43"/>
        </w:numPr>
        <w:spacing w:before="0" w:after="0" w:line="240" w:lineRule="auto"/>
        <w:jc w:val="both"/>
        <w:rPr>
          <w:lang w:val="en-US"/>
        </w:rPr>
      </w:pPr>
      <w:r w:rsidRPr="00515CF0">
        <w:rPr>
          <w:lang w:val="en-US"/>
        </w:rPr>
        <w:t xml:space="preserve">What </w:t>
      </w:r>
      <w:proofErr w:type="gramStart"/>
      <w:r w:rsidRPr="00515CF0">
        <w:rPr>
          <w:lang w:val="en-US"/>
        </w:rPr>
        <w:t>in particular has</w:t>
      </w:r>
      <w:proofErr w:type="gramEnd"/>
      <w:r w:rsidRPr="00515CF0">
        <w:rPr>
          <w:lang w:val="en-US"/>
        </w:rPr>
        <w:t xml:space="preserve"> been the contribution and role of sectors beyond health in making decisions about COVID-19? How and why were these sectors influential? What can we learn from this about using </w:t>
      </w:r>
      <w:r w:rsidR="00C2571A">
        <w:rPr>
          <w:lang w:val="en-US"/>
        </w:rPr>
        <w:t xml:space="preserve">the </w:t>
      </w:r>
      <w:r w:rsidRPr="00515CF0">
        <w:rPr>
          <w:lang w:val="en-US"/>
        </w:rPr>
        <w:t xml:space="preserve">whole of government approaches? </w:t>
      </w:r>
    </w:p>
    <w:p w14:paraId="76D4D6B1" w14:textId="77777777" w:rsidR="00F827DF" w:rsidRPr="00515CF0" w:rsidRDefault="00F827DF" w:rsidP="00F16257">
      <w:pPr>
        <w:pStyle w:val="ListParagraph"/>
        <w:jc w:val="both"/>
        <w:rPr>
          <w:lang w:val="en-US"/>
        </w:rPr>
      </w:pPr>
    </w:p>
    <w:p w14:paraId="69BF9C1C" w14:textId="3B0407B0" w:rsidR="00F827DF" w:rsidRPr="00515CF0" w:rsidRDefault="00F827DF" w:rsidP="00F16257">
      <w:pPr>
        <w:pStyle w:val="ListParagraph"/>
        <w:numPr>
          <w:ilvl w:val="0"/>
          <w:numId w:val="43"/>
        </w:numPr>
        <w:spacing w:before="0" w:after="0" w:line="240" w:lineRule="auto"/>
        <w:jc w:val="both"/>
        <w:rPr>
          <w:lang w:val="en-US"/>
        </w:rPr>
      </w:pPr>
      <w:r w:rsidRPr="00515CF0">
        <w:rPr>
          <w:lang w:val="en-US"/>
        </w:rPr>
        <w:t xml:space="preserve">What were the prerequisites and factors </w:t>
      </w:r>
      <w:r w:rsidR="007858F8" w:rsidRPr="00515CF0">
        <w:rPr>
          <w:lang w:val="en-US"/>
        </w:rPr>
        <w:t xml:space="preserve">in the policy planning and process </w:t>
      </w:r>
      <w:r w:rsidRPr="00515CF0">
        <w:rPr>
          <w:lang w:val="en-US"/>
        </w:rPr>
        <w:t xml:space="preserve">that positively or negatively </w:t>
      </w:r>
      <w:r w:rsidR="007858F8" w:rsidRPr="00515CF0">
        <w:rPr>
          <w:lang w:val="en-US"/>
        </w:rPr>
        <w:t>affected the COVID-19 response</w:t>
      </w:r>
      <w:r w:rsidR="00AB6F7F" w:rsidRPr="00515CF0">
        <w:rPr>
          <w:lang w:val="en-US"/>
        </w:rPr>
        <w:t>?</w:t>
      </w:r>
    </w:p>
    <w:p w14:paraId="280B5318" w14:textId="77777777" w:rsidR="004B28A8" w:rsidRPr="00515CF0" w:rsidRDefault="004B28A8" w:rsidP="00F16257">
      <w:pPr>
        <w:spacing w:before="0"/>
        <w:jc w:val="both"/>
      </w:pPr>
    </w:p>
    <w:p w14:paraId="0E0B4CA4" w14:textId="5FA199E6" w:rsidR="004B28A8" w:rsidRPr="00515CF0" w:rsidRDefault="004B28A8" w:rsidP="00F16257">
      <w:pPr>
        <w:pStyle w:val="ListParagraph"/>
        <w:numPr>
          <w:ilvl w:val="0"/>
          <w:numId w:val="43"/>
        </w:numPr>
        <w:spacing w:before="0" w:after="0" w:line="240" w:lineRule="auto"/>
        <w:jc w:val="both"/>
        <w:rPr>
          <w:lang w:val="en-US"/>
        </w:rPr>
      </w:pPr>
      <w:r w:rsidRPr="00515CF0">
        <w:rPr>
          <w:lang w:val="en-US"/>
        </w:rPr>
        <w:t>What are the current enablers to putting health on the policy agenda? What are the barriers to this?</w:t>
      </w:r>
    </w:p>
    <w:p w14:paraId="5599FC32" w14:textId="77777777" w:rsidR="00F827DF" w:rsidRPr="00515CF0" w:rsidRDefault="00F827DF" w:rsidP="00F16257">
      <w:pPr>
        <w:spacing w:before="0"/>
        <w:jc w:val="both"/>
      </w:pPr>
    </w:p>
    <w:p w14:paraId="6287DF02" w14:textId="686D2256" w:rsidR="004B28A8" w:rsidRPr="00515CF0" w:rsidRDefault="004B28A8" w:rsidP="00F16257">
      <w:pPr>
        <w:pStyle w:val="ListParagraph"/>
        <w:numPr>
          <w:ilvl w:val="0"/>
          <w:numId w:val="43"/>
        </w:numPr>
        <w:spacing w:before="0" w:after="0" w:line="240" w:lineRule="auto"/>
        <w:jc w:val="both"/>
        <w:rPr>
          <w:lang w:val="en-US"/>
        </w:rPr>
      </w:pPr>
      <w:r w:rsidRPr="00515CF0">
        <w:rPr>
          <w:lang w:val="en-US"/>
        </w:rPr>
        <w:t>Going ahead, what will be the enablers of keeping health on the policy agenda? What will be the barriers to this?</w:t>
      </w:r>
    </w:p>
    <w:p w14:paraId="3DCB3BF2" w14:textId="77777777" w:rsidR="00197AA5" w:rsidRPr="00515CF0" w:rsidRDefault="00197AA5" w:rsidP="00F16257">
      <w:pPr>
        <w:spacing w:before="0"/>
        <w:jc w:val="both"/>
      </w:pPr>
    </w:p>
    <w:p w14:paraId="118328BF" w14:textId="5EE8BF1E" w:rsidR="004B28A8" w:rsidRPr="00515CF0" w:rsidRDefault="004B28A8" w:rsidP="00F16257">
      <w:pPr>
        <w:pStyle w:val="ListParagraph"/>
        <w:numPr>
          <w:ilvl w:val="0"/>
          <w:numId w:val="43"/>
        </w:numPr>
        <w:spacing w:before="0" w:after="0" w:line="240" w:lineRule="auto"/>
        <w:jc w:val="both"/>
        <w:rPr>
          <w:lang w:val="en-US"/>
        </w:rPr>
      </w:pPr>
      <w:r w:rsidRPr="00515CF0">
        <w:rPr>
          <w:lang w:val="en-US"/>
        </w:rPr>
        <w:t xml:space="preserve">Has the </w:t>
      </w:r>
      <w:r w:rsidR="00197AA5" w:rsidRPr="00515CF0">
        <w:rPr>
          <w:lang w:val="en-US"/>
        </w:rPr>
        <w:t>Ministry</w:t>
      </w:r>
      <w:r w:rsidRPr="00515CF0">
        <w:rPr>
          <w:lang w:val="en-US"/>
        </w:rPr>
        <w:t xml:space="preserve"> been successful in using the pandemic to make </w:t>
      </w:r>
      <w:r w:rsidR="00C2571A">
        <w:rPr>
          <w:lang w:val="en-US"/>
        </w:rPr>
        <w:t>a</w:t>
      </w:r>
      <w:r w:rsidRPr="00515CF0">
        <w:rPr>
          <w:lang w:val="en-US"/>
        </w:rPr>
        <w:t xml:space="preserve"> case for stronger health systems? What kinds of arguments have they made in cases where they have been successful? </w:t>
      </w:r>
      <w:r w:rsidRPr="00515CF0">
        <w:rPr>
          <w:color w:val="000000"/>
          <w:lang w:val="en-US"/>
        </w:rPr>
        <w:t>What can we learn for the future from the cases where they have succeeded during this pandemic?</w:t>
      </w:r>
    </w:p>
    <w:p w14:paraId="3779D403" w14:textId="77777777" w:rsidR="00DD39D2" w:rsidRPr="00515CF0" w:rsidRDefault="00DD39D2" w:rsidP="00F16257">
      <w:pPr>
        <w:jc w:val="both"/>
        <w:rPr>
          <w:rFonts w:asciiTheme="majorHAnsi" w:hAnsiTheme="majorHAnsi" w:cstheme="majorHAnsi"/>
          <w:b/>
        </w:rPr>
      </w:pPr>
    </w:p>
    <w:p w14:paraId="57C7495C" w14:textId="77777777" w:rsidR="004F308A" w:rsidRPr="00515CF0" w:rsidRDefault="000B471F" w:rsidP="00F16257">
      <w:pPr>
        <w:pStyle w:val="Heading1"/>
        <w:jc w:val="both"/>
        <w:rPr>
          <w:rFonts w:asciiTheme="majorHAnsi" w:hAnsiTheme="majorHAnsi" w:cstheme="majorHAnsi"/>
        </w:rPr>
      </w:pPr>
      <w:r w:rsidRPr="00515CF0">
        <w:rPr>
          <w:rFonts w:asciiTheme="majorHAnsi" w:hAnsiTheme="majorHAnsi" w:cstheme="majorHAnsi"/>
        </w:rPr>
        <w:t xml:space="preserve">2. </w:t>
      </w:r>
      <w:r w:rsidR="00DD39D2" w:rsidRPr="00515CF0">
        <w:rPr>
          <w:rFonts w:asciiTheme="majorHAnsi" w:hAnsiTheme="majorHAnsi" w:cstheme="majorHAnsi"/>
        </w:rPr>
        <w:t>Background</w:t>
      </w:r>
      <w:r w:rsidR="004F308A" w:rsidRPr="00515CF0">
        <w:rPr>
          <w:rFonts w:asciiTheme="majorHAnsi" w:hAnsiTheme="majorHAnsi" w:cstheme="majorHAnsi"/>
        </w:rPr>
        <w:t xml:space="preserve"> </w:t>
      </w:r>
    </w:p>
    <w:p w14:paraId="6DDD06C8" w14:textId="77777777" w:rsidR="0056537C" w:rsidRPr="00515CF0" w:rsidRDefault="0056537C" w:rsidP="00F16257">
      <w:pPr>
        <w:spacing w:after="90"/>
        <w:jc w:val="both"/>
        <w:rPr>
          <w:rFonts w:asciiTheme="majorHAnsi" w:hAnsiTheme="majorHAnsi" w:cstheme="majorHAnsi"/>
          <w:b/>
          <w:sz w:val="26"/>
        </w:rPr>
      </w:pPr>
      <w:r w:rsidRPr="00515CF0">
        <w:rPr>
          <w:rFonts w:asciiTheme="majorHAnsi" w:hAnsiTheme="majorHAnsi" w:cstheme="majorHAnsi"/>
          <w:b/>
          <w:sz w:val="26"/>
        </w:rPr>
        <w:t>Country Context</w:t>
      </w:r>
    </w:p>
    <w:p w14:paraId="6E059856" w14:textId="1A2C410F" w:rsidR="00FB1BD3" w:rsidRPr="00515CF0" w:rsidRDefault="00FB1BD3" w:rsidP="00F16257">
      <w:pPr>
        <w:jc w:val="both"/>
      </w:pPr>
      <w:r w:rsidRPr="00515CF0">
        <w:t xml:space="preserve">Georgia – </w:t>
      </w:r>
      <w:r w:rsidR="00C2571A">
        <w:t xml:space="preserve">the </w:t>
      </w:r>
      <w:r w:rsidRPr="00515CF0">
        <w:t xml:space="preserve">former Soviet Republic </w:t>
      </w:r>
      <w:r w:rsidR="00843268" w:rsidRPr="00515CF0">
        <w:t xml:space="preserve">with </w:t>
      </w:r>
      <w:r w:rsidR="00C2571A">
        <w:t xml:space="preserve">a </w:t>
      </w:r>
      <w:r w:rsidR="00843268" w:rsidRPr="00515CF0">
        <w:t xml:space="preserve">population of 3.71 million (In 2020) </w:t>
      </w:r>
      <w:r w:rsidRPr="00515CF0">
        <w:t xml:space="preserve">is situated along the Black Sea shore, bounded by Turkey, Russian Federation. </w:t>
      </w:r>
      <w:r w:rsidR="006405D4" w:rsidRPr="00515CF0">
        <w:t>Over 59</w:t>
      </w:r>
      <w:r w:rsidRPr="00515CF0">
        <w:t xml:space="preserve"> percent of people in Georgia live in cities.</w:t>
      </w:r>
      <w:sdt>
        <w:sdtPr>
          <w:id w:val="28225615"/>
          <w:citation/>
        </w:sdtPr>
        <w:sdtEndPr/>
        <w:sdtContent>
          <w:r w:rsidR="00E80117" w:rsidRPr="00515CF0">
            <w:fldChar w:fldCharType="begin"/>
          </w:r>
          <w:r w:rsidR="00E80117" w:rsidRPr="00515CF0">
            <w:instrText xml:space="preserve"> CITATION Geo20 \l 1033 </w:instrText>
          </w:r>
          <w:r w:rsidR="00E80117" w:rsidRPr="00515CF0">
            <w:fldChar w:fldCharType="separate"/>
          </w:r>
          <w:r w:rsidR="00100F18" w:rsidRPr="00515CF0">
            <w:rPr>
              <w:noProof/>
            </w:rPr>
            <w:t xml:space="preserve"> [2]</w:t>
          </w:r>
          <w:r w:rsidR="00E80117" w:rsidRPr="00515CF0">
            <w:fldChar w:fldCharType="end"/>
          </w:r>
        </w:sdtContent>
      </w:sdt>
      <w:r w:rsidR="00C958C8" w:rsidRPr="00515CF0">
        <w:t xml:space="preserve"> </w:t>
      </w:r>
      <w:r w:rsidR="006405D4" w:rsidRPr="00515CF0">
        <w:t xml:space="preserve">During the transition years after </w:t>
      </w:r>
      <w:r w:rsidR="00C838C0" w:rsidRPr="00515CF0">
        <w:t>reg</w:t>
      </w:r>
      <w:r w:rsidR="00261242" w:rsidRPr="00515CF0">
        <w:t>aining the independence</w:t>
      </w:r>
      <w:r w:rsidR="006405D4" w:rsidRPr="00515CF0">
        <w:t xml:space="preserve"> in 1991, Georgia experienced major political and social turmoil and faced the deepest economic shocks among all former Soviet republics. </w:t>
      </w:r>
      <w:r w:rsidR="00005DA8" w:rsidRPr="00515CF0">
        <w:t xml:space="preserve">After </w:t>
      </w:r>
      <w:r w:rsidR="00261242" w:rsidRPr="00515CF0">
        <w:t xml:space="preserve">the </w:t>
      </w:r>
      <w:r w:rsidR="00005DA8" w:rsidRPr="00515CF0">
        <w:t xml:space="preserve">difficult </w:t>
      </w:r>
      <w:r w:rsidR="000873FD" w:rsidRPr="00515CF0">
        <w:t xml:space="preserve">transition </w:t>
      </w:r>
      <w:r w:rsidR="00005DA8" w:rsidRPr="00515CF0">
        <w:t>years</w:t>
      </w:r>
      <w:r w:rsidR="00261242" w:rsidRPr="00515CF0">
        <w:t xml:space="preserve"> </w:t>
      </w:r>
      <w:r w:rsidR="00BE3BA5" w:rsidRPr="00515CF0">
        <w:t>aggravated</w:t>
      </w:r>
      <w:r w:rsidR="00261242" w:rsidRPr="00515CF0">
        <w:t xml:space="preserve"> </w:t>
      </w:r>
      <w:r w:rsidR="00BE3BA5" w:rsidRPr="00515CF0">
        <w:t xml:space="preserve">by the </w:t>
      </w:r>
      <w:r w:rsidR="00261242" w:rsidRPr="00515CF0">
        <w:t>with</w:t>
      </w:r>
      <w:r w:rsidR="00BE3BA5" w:rsidRPr="00515CF0">
        <w:t xml:space="preserve"> the </w:t>
      </w:r>
      <w:r w:rsidR="00394321" w:rsidRPr="00515CF0">
        <w:t>civil war and</w:t>
      </w:r>
      <w:r w:rsidR="00261242" w:rsidRPr="00515CF0">
        <w:t xml:space="preserve"> </w:t>
      </w:r>
      <w:r w:rsidR="00BE3BA5" w:rsidRPr="00515CF0">
        <w:t>ethnic conflicts</w:t>
      </w:r>
      <w:r w:rsidR="00261242" w:rsidRPr="00515CF0">
        <w:t>,</w:t>
      </w:r>
      <w:r w:rsidR="00005DA8" w:rsidRPr="00515CF0">
        <w:t xml:space="preserve"> Georgia</w:t>
      </w:r>
      <w:r w:rsidR="000873FD" w:rsidRPr="00515CF0">
        <w:t xml:space="preserve"> </w:t>
      </w:r>
      <w:r w:rsidR="00D40D51" w:rsidRPr="00515CF0">
        <w:t>implemented</w:t>
      </w:r>
      <w:r w:rsidR="00141214" w:rsidRPr="00515CF0">
        <w:t xml:space="preserve"> robust economic </w:t>
      </w:r>
      <w:r w:rsidR="00DB5EDD" w:rsidRPr="00515CF0">
        <w:t xml:space="preserve">and structural </w:t>
      </w:r>
      <w:r w:rsidR="00141214" w:rsidRPr="00515CF0">
        <w:t xml:space="preserve">reforms, which allowed the country to </w:t>
      </w:r>
      <w:r w:rsidR="00D40D51" w:rsidRPr="00515CF0">
        <w:t xml:space="preserve">grow its </w:t>
      </w:r>
      <w:r w:rsidR="00871FA1" w:rsidRPr="00515CF0">
        <w:t>GDP</w:t>
      </w:r>
      <w:r w:rsidR="00D40D51" w:rsidRPr="00515CF0">
        <w:t xml:space="preserve"> per capita with </w:t>
      </w:r>
      <w:r w:rsidR="0061097C">
        <w:t xml:space="preserve">an </w:t>
      </w:r>
      <w:r w:rsidR="00D40D51" w:rsidRPr="00515CF0">
        <w:t>average annual growth rate of 4.9 percent</w:t>
      </w:r>
      <w:r w:rsidR="00DB5EDD" w:rsidRPr="00515CF0">
        <w:t xml:space="preserve"> in</w:t>
      </w:r>
      <w:r w:rsidR="008F4E95" w:rsidRPr="00515CF0">
        <w:t xml:space="preserve"> the period from 2010 to 2019</w:t>
      </w:r>
      <w:r w:rsidR="00871FA1" w:rsidRPr="00515CF0">
        <w:t>.</w:t>
      </w:r>
      <w:r w:rsidR="006405D4" w:rsidRPr="00515CF0">
        <w:t xml:space="preserve"> </w:t>
      </w:r>
      <w:r w:rsidR="00871FA1" w:rsidRPr="00515CF0">
        <w:t>By the beginning</w:t>
      </w:r>
      <w:r w:rsidR="006405D4" w:rsidRPr="00515CF0">
        <w:t xml:space="preserve"> </w:t>
      </w:r>
      <w:r w:rsidR="00DB5EDD" w:rsidRPr="00515CF0">
        <w:t xml:space="preserve">of the </w:t>
      </w:r>
      <w:r w:rsidR="006405D4" w:rsidRPr="00515CF0">
        <w:t>year 2020</w:t>
      </w:r>
      <w:r w:rsidR="0061097C">
        <w:t>,</w:t>
      </w:r>
      <w:r w:rsidR="006405D4" w:rsidRPr="00515CF0">
        <w:t xml:space="preserve"> Georgia is a</w:t>
      </w:r>
      <w:r w:rsidR="00FA099F" w:rsidRPr="00515CF0">
        <w:t xml:space="preserve">n </w:t>
      </w:r>
      <w:r w:rsidR="003A0D3F" w:rsidRPr="00515CF0">
        <w:t>u</w:t>
      </w:r>
      <w:r w:rsidR="00FA099F" w:rsidRPr="00515CF0">
        <w:t>pper</w:t>
      </w:r>
      <w:r w:rsidR="006405D4" w:rsidRPr="00515CF0">
        <w:t>-middle-income country according to the World Bank classification,</w:t>
      </w:r>
      <w:sdt>
        <w:sdtPr>
          <w:id w:val="-1315790834"/>
          <w:citation/>
        </w:sdtPr>
        <w:sdtEndPr/>
        <w:sdtContent>
          <w:r w:rsidR="001419F9" w:rsidRPr="00515CF0">
            <w:fldChar w:fldCharType="begin"/>
          </w:r>
          <w:r w:rsidR="001419F9" w:rsidRPr="00515CF0">
            <w:instrText xml:space="preserve"> CITATION The20 \l 1033 </w:instrText>
          </w:r>
          <w:r w:rsidR="001419F9" w:rsidRPr="00515CF0">
            <w:fldChar w:fldCharType="separate"/>
          </w:r>
          <w:r w:rsidR="00100F18" w:rsidRPr="00515CF0">
            <w:rPr>
              <w:noProof/>
            </w:rPr>
            <w:t xml:space="preserve"> [3]</w:t>
          </w:r>
          <w:r w:rsidR="001419F9" w:rsidRPr="00515CF0">
            <w:fldChar w:fldCharType="end"/>
          </w:r>
        </w:sdtContent>
      </w:sdt>
      <w:r w:rsidR="00F77E92" w:rsidRPr="00515CF0">
        <w:t xml:space="preserve"> </w:t>
      </w:r>
      <w:r w:rsidR="006405D4" w:rsidRPr="00515CF0">
        <w:t>with emerging free</w:t>
      </w:r>
      <w:r w:rsidR="0061097C">
        <w:t>-</w:t>
      </w:r>
      <w:r w:rsidR="006405D4" w:rsidRPr="00515CF0">
        <w:t>market economy and GDP per capita at 4.764 in current US$</w:t>
      </w:r>
      <w:r w:rsidR="00E0144C" w:rsidRPr="00515CF0">
        <w:t xml:space="preserve">. </w:t>
      </w:r>
      <w:r w:rsidR="00C65FC7" w:rsidRPr="00515CF0">
        <w:t xml:space="preserve"> </w:t>
      </w:r>
      <w:r w:rsidR="00A47CF7" w:rsidRPr="00515CF0">
        <w:t xml:space="preserve">The current account deficit narrowed to roughly 5.1 percent of GDP in 2019 in response to </w:t>
      </w:r>
      <w:r w:rsidR="00784B4C" w:rsidRPr="00515CF0">
        <w:t xml:space="preserve">sound </w:t>
      </w:r>
      <w:r w:rsidR="00A47CF7" w:rsidRPr="00515CF0">
        <w:t xml:space="preserve">growth in exports, tourism services, and remittances. </w:t>
      </w:r>
      <w:r w:rsidR="00C65FC7" w:rsidRPr="00515CF0">
        <w:t>Declining unemployment and growing wages, robust external transfers, and higher public spending c</w:t>
      </w:r>
      <w:r w:rsidR="00464A27" w:rsidRPr="00515CF0">
        <w:t>oupled with a system of targeted social transfers</w:t>
      </w:r>
      <w:r w:rsidR="00C65FC7" w:rsidRPr="00515CF0">
        <w:t xml:space="preserve"> </w:t>
      </w:r>
      <w:r w:rsidR="00464A27" w:rsidRPr="00515CF0">
        <w:t>helped to nearly halve the poverty rate from 37.4 percent in 2007 to 20.1 percent in 2018 and to improve living conditions</w:t>
      </w:r>
      <w:r w:rsidR="00F77E92" w:rsidRPr="00515CF0">
        <w:t>.</w:t>
      </w:r>
      <w:sdt>
        <w:sdtPr>
          <w:id w:val="-44366168"/>
          <w:citation/>
        </w:sdtPr>
        <w:sdtEndPr/>
        <w:sdtContent>
          <w:r w:rsidR="00F77E92" w:rsidRPr="00515CF0">
            <w:fldChar w:fldCharType="begin"/>
          </w:r>
          <w:r w:rsidR="00F77E92" w:rsidRPr="00515CF0">
            <w:instrText xml:space="preserve"> CITATION The201 \l 1033 </w:instrText>
          </w:r>
          <w:r w:rsidR="00F77E92" w:rsidRPr="00515CF0">
            <w:fldChar w:fldCharType="separate"/>
          </w:r>
          <w:r w:rsidR="00100F18" w:rsidRPr="00515CF0">
            <w:rPr>
              <w:noProof/>
            </w:rPr>
            <w:t xml:space="preserve"> [4]</w:t>
          </w:r>
          <w:r w:rsidR="00F77E92" w:rsidRPr="00515CF0">
            <w:fldChar w:fldCharType="end"/>
          </w:r>
        </w:sdtContent>
      </w:sdt>
      <w:r w:rsidR="00F77E92" w:rsidRPr="00515CF0">
        <w:t xml:space="preserve"> </w:t>
      </w:r>
    </w:p>
    <w:p w14:paraId="595CFA98" w14:textId="41E59DC1" w:rsidR="0083337A" w:rsidRPr="00515CF0" w:rsidRDefault="007665D6" w:rsidP="00F16257">
      <w:pPr>
        <w:jc w:val="both"/>
      </w:pPr>
      <w:r w:rsidRPr="00515CF0">
        <w:t xml:space="preserve">In the last 30 years, </w:t>
      </w:r>
      <w:r w:rsidR="002776B0" w:rsidRPr="00515CF0">
        <w:t>the health system based on the Semashko model</w:t>
      </w:r>
      <w:r w:rsidRPr="00515CF0">
        <w:t xml:space="preserve"> </w:t>
      </w:r>
      <w:r w:rsidR="002776B0" w:rsidRPr="00515CF0">
        <w:t>inherited from the Soviet Union has changed radically</w:t>
      </w:r>
      <w:r w:rsidRPr="00515CF0">
        <w:t xml:space="preserve">. </w:t>
      </w:r>
      <w:r w:rsidR="00FB1BD3" w:rsidRPr="00515CF0">
        <w:t xml:space="preserve">The public health care expenditure from estimated 130$ in 1990 decreased </w:t>
      </w:r>
      <w:r w:rsidR="00FB1BD3" w:rsidRPr="00515CF0">
        <w:lastRenderedPageBreak/>
        <w:t>dramatically to less than $1 (US) per capi</w:t>
      </w:r>
      <w:r w:rsidR="00571D1A" w:rsidRPr="00515CF0">
        <w:t>ta by the year 1994</w:t>
      </w:r>
      <w:r w:rsidR="00FB1BD3" w:rsidRPr="00515CF0">
        <w:t>.</w:t>
      </w:r>
      <w:sdt>
        <w:sdtPr>
          <w:id w:val="2082244560"/>
          <w:citation/>
        </w:sdtPr>
        <w:sdtEndPr/>
        <w:sdtContent>
          <w:r w:rsidR="009E6E60" w:rsidRPr="00515CF0">
            <w:fldChar w:fldCharType="begin"/>
          </w:r>
          <w:r w:rsidR="009E6E60" w:rsidRPr="00515CF0">
            <w:instrText xml:space="preserve"> CITATION Gam02 \l 1033 </w:instrText>
          </w:r>
          <w:r w:rsidR="009E6E60" w:rsidRPr="00515CF0">
            <w:fldChar w:fldCharType="separate"/>
          </w:r>
          <w:r w:rsidR="00100F18" w:rsidRPr="00515CF0">
            <w:rPr>
              <w:noProof/>
            </w:rPr>
            <w:t xml:space="preserve"> [5]</w:t>
          </w:r>
          <w:r w:rsidR="009E6E60" w:rsidRPr="00515CF0">
            <w:fldChar w:fldCharType="end"/>
          </w:r>
        </w:sdtContent>
      </w:sdt>
      <w:r w:rsidR="009E6E60" w:rsidRPr="00515CF0">
        <w:t xml:space="preserve"> </w:t>
      </w:r>
      <w:r w:rsidR="00FB1BD3" w:rsidRPr="00515CF0">
        <w:t>In response to the declining public spending the government of Georgia, has initiated major health sector reforms in 1996-1997, which separated health care provision from financing, helped the country establish a single</w:t>
      </w:r>
      <w:r w:rsidR="0061097C">
        <w:t>-</w:t>
      </w:r>
      <w:r w:rsidR="00FB1BD3" w:rsidRPr="00515CF0">
        <w:t>payer agency in health in 1999</w:t>
      </w:r>
      <w:r w:rsidR="0010363E" w:rsidRPr="00515CF0">
        <w:t>,</w:t>
      </w:r>
      <w:r w:rsidR="00FB1BD3" w:rsidRPr="00515CF0">
        <w:t xml:space="preserve"> </w:t>
      </w:r>
      <w:r w:rsidR="0010363E" w:rsidRPr="00515CF0">
        <w:t xml:space="preserve">which </w:t>
      </w:r>
      <w:r w:rsidR="00FB1BD3" w:rsidRPr="00515CF0">
        <w:t xml:space="preserve">contracted providers and introduced output-based payments as the predominant form of provider reimbursement. Structural reforms allowed the government to remove from direct state payroll health care workers by transforming their employers - health care facilities from treasury organizations into publicly owned independent legal entities with </w:t>
      </w:r>
      <w:r w:rsidR="0061097C">
        <w:t xml:space="preserve">a </w:t>
      </w:r>
      <w:r w:rsidR="00FB1BD3" w:rsidRPr="00515CF0">
        <w:t xml:space="preserve">considerable level of autonomy. Since the inception of health financing reforms, due to the changing broader political and social policy context, the country has experimented with various institutional setups for the health financing system. </w:t>
      </w:r>
      <w:r w:rsidR="0049047B" w:rsidRPr="00515CF0">
        <w:t>T</w:t>
      </w:r>
      <w:r w:rsidR="0066673A" w:rsidRPr="00515CF0">
        <w:t xml:space="preserve">he introduction of the UHC program in 2013 is one of the </w:t>
      </w:r>
      <w:r w:rsidR="00B0643C">
        <w:t>significant</w:t>
      </w:r>
      <w:r w:rsidR="0066673A" w:rsidRPr="00515CF0">
        <w:t xml:space="preserve"> achievements</w:t>
      </w:r>
      <w:r w:rsidR="00D11F80" w:rsidRPr="00515CF0">
        <w:t xml:space="preserve"> of the current Government of Georgia (GoG)</w:t>
      </w:r>
      <w:r w:rsidR="0066673A" w:rsidRPr="00515CF0">
        <w:t>. This achievement is recognized internationally</w:t>
      </w:r>
      <w:r w:rsidR="00280B11" w:rsidRPr="00515CF0">
        <w:t>,</w:t>
      </w:r>
      <w:sdt>
        <w:sdtPr>
          <w:id w:val="544187050"/>
          <w:citation/>
        </w:sdtPr>
        <w:sdtEndPr/>
        <w:sdtContent>
          <w:r w:rsidR="00280B11" w:rsidRPr="00515CF0">
            <w:fldChar w:fldCharType="begin"/>
          </w:r>
          <w:r w:rsidR="00280B11" w:rsidRPr="00515CF0">
            <w:instrText xml:space="preserve"> CITATION Wor15 \l 1033 </w:instrText>
          </w:r>
          <w:r w:rsidR="00280B11" w:rsidRPr="00515CF0">
            <w:fldChar w:fldCharType="separate"/>
          </w:r>
          <w:r w:rsidR="00100F18" w:rsidRPr="00515CF0">
            <w:rPr>
              <w:noProof/>
            </w:rPr>
            <w:t xml:space="preserve"> [6]</w:t>
          </w:r>
          <w:r w:rsidR="00280B11" w:rsidRPr="00515CF0">
            <w:fldChar w:fldCharType="end"/>
          </w:r>
        </w:sdtContent>
      </w:sdt>
      <w:r w:rsidR="007379A0" w:rsidRPr="00515CF0">
        <w:t xml:space="preserve"> </w:t>
      </w:r>
      <w:sdt>
        <w:sdtPr>
          <w:id w:val="-2131773328"/>
          <w:citation/>
        </w:sdtPr>
        <w:sdtEndPr/>
        <w:sdtContent>
          <w:r w:rsidR="00FB52C9" w:rsidRPr="00515CF0">
            <w:fldChar w:fldCharType="begin"/>
          </w:r>
          <w:r w:rsidR="00FB52C9" w:rsidRPr="00515CF0">
            <w:instrText xml:space="preserve"> CITATION Ric17 \l 1033 </w:instrText>
          </w:r>
          <w:r w:rsidR="00FB52C9" w:rsidRPr="00515CF0">
            <w:fldChar w:fldCharType="separate"/>
          </w:r>
          <w:r w:rsidR="00100F18" w:rsidRPr="00515CF0">
            <w:rPr>
              <w:noProof/>
            </w:rPr>
            <w:t>[7]</w:t>
          </w:r>
          <w:r w:rsidR="00FB52C9" w:rsidRPr="00515CF0">
            <w:fldChar w:fldCharType="end"/>
          </w:r>
        </w:sdtContent>
      </w:sdt>
      <w:r w:rsidR="00FB52C9" w:rsidRPr="00515CF0">
        <w:t xml:space="preserve"> </w:t>
      </w:r>
      <w:r w:rsidR="0066673A" w:rsidRPr="00515CF0">
        <w:t>and despite certain implementation and efficiency concerns that emerged in the program recently, almost every public opinio</w:t>
      </w:r>
      <w:r w:rsidR="00BB0028" w:rsidRPr="00515CF0">
        <w:t>n</w:t>
      </w:r>
      <w:sdt>
        <w:sdtPr>
          <w:id w:val="14657293"/>
          <w:citation/>
        </w:sdtPr>
        <w:sdtEndPr/>
        <w:sdtContent>
          <w:r w:rsidR="00492D8E" w:rsidRPr="00515CF0">
            <w:fldChar w:fldCharType="begin"/>
          </w:r>
          <w:r w:rsidR="00492D8E" w:rsidRPr="00515CF0">
            <w:instrText xml:space="preserve"> CITATION Nat19 \l 1033 </w:instrText>
          </w:r>
          <w:r w:rsidR="00492D8E" w:rsidRPr="00515CF0">
            <w:fldChar w:fldCharType="separate"/>
          </w:r>
          <w:r w:rsidR="00100F18" w:rsidRPr="00515CF0">
            <w:rPr>
              <w:noProof/>
            </w:rPr>
            <w:t xml:space="preserve"> [8]</w:t>
          </w:r>
          <w:r w:rsidR="00492D8E" w:rsidRPr="00515CF0">
            <w:fldChar w:fldCharType="end"/>
          </w:r>
        </w:sdtContent>
      </w:sdt>
      <w:r w:rsidR="0066673A" w:rsidRPr="00515CF0">
        <w:t xml:space="preserve"> or experts’ poll</w:t>
      </w:r>
      <w:r w:rsidR="00E872D4" w:rsidRPr="00515CF0">
        <w:t xml:space="preserve"> </w:t>
      </w:r>
      <w:sdt>
        <w:sdtPr>
          <w:id w:val="-1499809039"/>
          <w:citation/>
        </w:sdtPr>
        <w:sdtEndPr/>
        <w:sdtContent>
          <w:r w:rsidR="00FB500F" w:rsidRPr="00515CF0">
            <w:fldChar w:fldCharType="begin"/>
          </w:r>
          <w:r w:rsidR="00FB500F" w:rsidRPr="00515CF0">
            <w:instrText xml:space="preserve"> CITATION Cur19 \l 1033 </w:instrText>
          </w:r>
          <w:r w:rsidR="00FB500F" w:rsidRPr="00515CF0">
            <w:fldChar w:fldCharType="separate"/>
          </w:r>
          <w:r w:rsidR="00FB500F" w:rsidRPr="00515CF0">
            <w:rPr>
              <w:noProof/>
            </w:rPr>
            <w:t>[9]</w:t>
          </w:r>
          <w:r w:rsidR="00FB500F" w:rsidRPr="00515CF0">
            <w:fldChar w:fldCharType="end"/>
          </w:r>
        </w:sdtContent>
      </w:sdt>
      <w:r w:rsidR="00E872D4" w:rsidRPr="00515CF0">
        <w:t xml:space="preserve"> </w:t>
      </w:r>
      <w:r w:rsidR="0066673A" w:rsidRPr="00515CF0">
        <w:t xml:space="preserve">for the last seven years also shows continuing support to sustainment and further expansion of the UHC. </w:t>
      </w:r>
    </w:p>
    <w:p w14:paraId="1FD34EBD" w14:textId="5EA3B3E7" w:rsidR="00FB1BD3" w:rsidRPr="00515CF0" w:rsidRDefault="0066673A" w:rsidP="00F16257">
      <w:pPr>
        <w:jc w:val="both"/>
        <w:rPr>
          <w:rFonts w:asciiTheme="majorHAnsi" w:hAnsiTheme="majorHAnsi" w:cstheme="majorHAnsi"/>
        </w:rPr>
      </w:pPr>
      <w:r w:rsidRPr="00515CF0">
        <w:t>Since regaining independence in 1991, health care had low policy priority and was financed with a “residual principle” – what was left from other priority sectors, such as public safety, defense, infrastructure, etc.</w:t>
      </w:r>
      <w:sdt>
        <w:sdtPr>
          <w:id w:val="348682233"/>
          <w:citation/>
        </w:sdtPr>
        <w:sdtEndPr/>
        <w:sdtContent>
          <w:r w:rsidR="00E55667" w:rsidRPr="00515CF0">
            <w:fldChar w:fldCharType="begin"/>
          </w:r>
          <w:r w:rsidR="00E55667" w:rsidRPr="00515CF0">
            <w:instrText xml:space="preserve"> CITATION Gam02 \l 1033 </w:instrText>
          </w:r>
          <w:r w:rsidR="00E55667" w:rsidRPr="00515CF0">
            <w:fldChar w:fldCharType="separate"/>
          </w:r>
          <w:r w:rsidR="00E55667" w:rsidRPr="00515CF0">
            <w:rPr>
              <w:noProof/>
            </w:rPr>
            <w:t xml:space="preserve"> [5]</w:t>
          </w:r>
          <w:r w:rsidR="00E55667" w:rsidRPr="00515CF0">
            <w:fldChar w:fldCharType="end"/>
          </w:r>
        </w:sdtContent>
      </w:sdt>
      <w:r w:rsidRPr="00515CF0">
        <w:rPr>
          <w:vertAlign w:val="superscript"/>
        </w:rPr>
        <w:t xml:space="preserve"> </w:t>
      </w:r>
      <w:r w:rsidRPr="00515CF0">
        <w:t xml:space="preserve">With the introduction of the UHC, health care gained a high political priority, and the health budget almost tripled in absolute terms </w:t>
      </w:r>
      <w:r w:rsidR="0062720C" w:rsidRPr="00515CF0">
        <w:t>and</w:t>
      </w:r>
      <w:r w:rsidRPr="00515CF0">
        <w:t xml:space="preserve"> doubled as a share of the public budget, making health a clear budget priority in the period from 2013 through 2019</w:t>
      </w:r>
      <w:r w:rsidR="00CD20DD" w:rsidRPr="00515CF0">
        <w:t>.</w:t>
      </w:r>
      <w:sdt>
        <w:sdtPr>
          <w:id w:val="2035611672"/>
          <w:citation/>
        </w:sdtPr>
        <w:sdtEndPr/>
        <w:sdtContent>
          <w:r w:rsidR="003D0201" w:rsidRPr="00515CF0">
            <w:fldChar w:fldCharType="begin"/>
          </w:r>
          <w:r w:rsidR="003D0201" w:rsidRPr="00515CF0">
            <w:instrText xml:space="preserve"> CITATION Min20 \l 1033 </w:instrText>
          </w:r>
          <w:r w:rsidR="003D0201" w:rsidRPr="00515CF0">
            <w:fldChar w:fldCharType="separate"/>
          </w:r>
          <w:r w:rsidR="003D0201" w:rsidRPr="00515CF0">
            <w:rPr>
              <w:noProof/>
            </w:rPr>
            <w:t xml:space="preserve"> [10]</w:t>
          </w:r>
          <w:r w:rsidR="003D0201" w:rsidRPr="00515CF0">
            <w:fldChar w:fldCharType="end"/>
          </w:r>
        </w:sdtContent>
      </w:sdt>
      <w:r w:rsidR="00E55667" w:rsidRPr="00515CF0">
        <w:t xml:space="preserve"> </w:t>
      </w:r>
    </w:p>
    <w:p w14:paraId="442F84C7" w14:textId="76DA28AF" w:rsidR="00FB1BD3" w:rsidRPr="00515CF0" w:rsidRDefault="00A77B71" w:rsidP="00F16257">
      <w:pPr>
        <w:spacing w:after="90"/>
        <w:jc w:val="both"/>
      </w:pPr>
      <w:r w:rsidRPr="00515CF0">
        <w:rPr>
          <w:rFonts w:asciiTheme="majorHAnsi" w:hAnsiTheme="majorHAnsi" w:cstheme="majorHAnsi"/>
        </w:rPr>
        <w:t>The</w:t>
      </w:r>
      <w:r w:rsidR="00502C2C" w:rsidRPr="00515CF0">
        <w:rPr>
          <w:rFonts w:asciiTheme="majorHAnsi" w:hAnsiTheme="majorHAnsi" w:cstheme="majorHAnsi"/>
        </w:rPr>
        <w:t xml:space="preserve"> </w:t>
      </w:r>
      <w:r w:rsidR="00E74833" w:rsidRPr="00515CF0">
        <w:rPr>
          <w:rFonts w:asciiTheme="majorHAnsi" w:hAnsiTheme="majorHAnsi" w:cstheme="majorHAnsi"/>
        </w:rPr>
        <w:t xml:space="preserve">System of </w:t>
      </w:r>
      <w:r w:rsidR="00502C2C" w:rsidRPr="00515CF0">
        <w:rPr>
          <w:rFonts w:asciiTheme="majorHAnsi" w:hAnsiTheme="majorHAnsi" w:cstheme="majorHAnsi"/>
        </w:rPr>
        <w:t>Sanitary Epidemiology</w:t>
      </w:r>
      <w:r w:rsidR="00E74833" w:rsidRPr="00515CF0">
        <w:rPr>
          <w:rFonts w:asciiTheme="majorHAnsi" w:hAnsiTheme="majorHAnsi" w:cstheme="majorHAnsi"/>
        </w:rPr>
        <w:t xml:space="preserve"> </w:t>
      </w:r>
      <w:r w:rsidR="00AB6F7F" w:rsidRPr="00515CF0">
        <w:rPr>
          <w:rFonts w:asciiTheme="majorHAnsi" w:hAnsiTheme="majorHAnsi" w:cstheme="majorHAnsi"/>
        </w:rPr>
        <w:t xml:space="preserve">also </w:t>
      </w:r>
      <w:r w:rsidR="00E74833" w:rsidRPr="00515CF0">
        <w:rPr>
          <w:rFonts w:asciiTheme="majorHAnsi" w:hAnsiTheme="majorHAnsi" w:cstheme="majorHAnsi"/>
        </w:rPr>
        <w:t xml:space="preserve">inherited from the Soviet Union </w:t>
      </w:r>
      <w:r w:rsidR="004776C6" w:rsidRPr="00515CF0">
        <w:rPr>
          <w:rFonts w:asciiTheme="majorHAnsi" w:hAnsiTheme="majorHAnsi" w:cstheme="majorHAnsi"/>
        </w:rPr>
        <w:t xml:space="preserve">was reshaped </w:t>
      </w:r>
      <w:r w:rsidR="003B4C32" w:rsidRPr="00515CF0">
        <w:rPr>
          <w:rFonts w:asciiTheme="majorHAnsi" w:hAnsiTheme="majorHAnsi" w:cstheme="majorHAnsi"/>
        </w:rPr>
        <w:t xml:space="preserve">and strengthened to form a modern public health system. </w:t>
      </w:r>
      <w:r w:rsidR="00987182" w:rsidRPr="00515CF0">
        <w:rPr>
          <w:rFonts w:asciiTheme="majorHAnsi" w:hAnsiTheme="majorHAnsi" w:cstheme="majorHAnsi"/>
        </w:rPr>
        <w:t xml:space="preserve">The </w:t>
      </w:r>
      <w:r w:rsidR="00F52348" w:rsidRPr="00515CF0">
        <w:t xml:space="preserve">National Centre for Disease Control and Public Health (NCDC) is </w:t>
      </w:r>
      <w:r w:rsidR="00AB6F7F" w:rsidRPr="00515CF0">
        <w:t xml:space="preserve">the key institution under the Ministry, which </w:t>
      </w:r>
      <w:r w:rsidR="009A64B5" w:rsidRPr="00515CF0">
        <w:t>administers public health protection programmes in the country</w:t>
      </w:r>
      <w:r w:rsidR="00693A8C" w:rsidRPr="00515CF0">
        <w:t xml:space="preserve"> and is responsible</w:t>
      </w:r>
      <w:r w:rsidR="00A671A4" w:rsidRPr="00515CF0">
        <w:t xml:space="preserve"> for biosecurity and meeting the requirements of </w:t>
      </w:r>
      <w:r w:rsidR="00EF5DF0" w:rsidRPr="00515CF0">
        <w:t>International Health Regulations.</w:t>
      </w:r>
      <w:r w:rsidR="00E0030A" w:rsidRPr="00515CF0">
        <w:t xml:space="preserve"> </w:t>
      </w:r>
      <w:sdt>
        <w:sdtPr>
          <w:id w:val="1419135038"/>
          <w:citation/>
        </w:sdtPr>
        <w:sdtEndPr/>
        <w:sdtContent>
          <w:r w:rsidR="00E0030A" w:rsidRPr="00515CF0">
            <w:fldChar w:fldCharType="begin"/>
          </w:r>
          <w:r w:rsidR="00E0030A" w:rsidRPr="00515CF0">
            <w:instrText xml:space="preserve"> CITATION Bak10 \l 1033 </w:instrText>
          </w:r>
          <w:r w:rsidR="00E0030A" w:rsidRPr="00515CF0">
            <w:fldChar w:fldCharType="separate"/>
          </w:r>
          <w:r w:rsidR="00E0030A" w:rsidRPr="00515CF0">
            <w:rPr>
              <w:noProof/>
            </w:rPr>
            <w:t>[11]</w:t>
          </w:r>
          <w:r w:rsidR="00E0030A" w:rsidRPr="00515CF0">
            <w:fldChar w:fldCharType="end"/>
          </w:r>
        </w:sdtContent>
      </w:sdt>
      <w:r w:rsidR="00145422" w:rsidRPr="00515CF0">
        <w:t xml:space="preserve"> </w:t>
      </w:r>
      <w:r w:rsidR="006A0F00" w:rsidRPr="00515CF0">
        <w:t xml:space="preserve">As part of the </w:t>
      </w:r>
      <w:r w:rsidR="00E41D86" w:rsidRPr="00515CF0">
        <w:t>C</w:t>
      </w:r>
      <w:r w:rsidR="006A0F00" w:rsidRPr="00515CF0">
        <w:t xml:space="preserve">ooperative </w:t>
      </w:r>
      <w:r w:rsidR="00E41D86" w:rsidRPr="00515CF0">
        <w:t xml:space="preserve">Biological Engagement Program (CBEP) </w:t>
      </w:r>
      <w:r w:rsidR="006A0F00" w:rsidRPr="00515CF0">
        <w:t>supported by the Defense Threat Reduction Agency, USA (200</w:t>
      </w:r>
      <w:r w:rsidR="00E41D86" w:rsidRPr="00515CF0">
        <w:t>4</w:t>
      </w:r>
      <w:r w:rsidR="006A0F00" w:rsidRPr="00515CF0">
        <w:t>–201</w:t>
      </w:r>
      <w:r w:rsidR="00E41D86" w:rsidRPr="00515CF0">
        <w:t>6</w:t>
      </w:r>
      <w:r w:rsidR="006A0F00" w:rsidRPr="00515CF0">
        <w:t>), the regional laboratory network (biosafety level 2) started operation – with two Zonal Diagnostic Laboratories (ZDL) and seven Laboratory Support Stations. These are the regional arms of the NCDC that provide support to municipal centers (61 centers subordinated to local government), employing mainly epidemiologists responsible for the surveillance of communicable diseases.</w:t>
      </w:r>
      <w:r w:rsidR="00CE13BA" w:rsidRPr="00515CF0">
        <w:t xml:space="preserve"> </w:t>
      </w:r>
      <w:r w:rsidR="00D06A9A" w:rsidRPr="00515CF0">
        <w:t>NCDC’s subordinated structure, t</w:t>
      </w:r>
      <w:r w:rsidR="006A0F00" w:rsidRPr="00515CF0">
        <w:t>he R. Lugar Centre for Public Health Research established under the same cooperative programme plays a key role</w:t>
      </w:r>
      <w:r w:rsidR="00CE13BA" w:rsidRPr="00515CF0">
        <w:t xml:space="preserve"> in </w:t>
      </w:r>
      <w:r w:rsidR="005C1521" w:rsidRPr="00515CF0">
        <w:t>the biological threat reduction</w:t>
      </w:r>
      <w:r w:rsidR="006A0F00" w:rsidRPr="00515CF0">
        <w:t>, as it has the only Biosafety Level 3 laboratory in the South Caucasus Region.</w:t>
      </w:r>
      <w:sdt>
        <w:sdtPr>
          <w:id w:val="1992356170"/>
          <w:citation/>
        </w:sdtPr>
        <w:sdtEndPr/>
        <w:sdtContent>
          <w:r w:rsidR="00AE5B09" w:rsidRPr="00515CF0">
            <w:fldChar w:fldCharType="begin"/>
          </w:r>
          <w:r w:rsidR="00AE5B09" w:rsidRPr="00515CF0">
            <w:instrText xml:space="preserve"> CITATION Min15 \l 1033 </w:instrText>
          </w:r>
          <w:r w:rsidR="00AE5B09" w:rsidRPr="00515CF0">
            <w:fldChar w:fldCharType="separate"/>
          </w:r>
          <w:r w:rsidR="00AE5B09" w:rsidRPr="00515CF0">
            <w:rPr>
              <w:noProof/>
            </w:rPr>
            <w:t xml:space="preserve"> [12]</w:t>
          </w:r>
          <w:r w:rsidR="00AE5B09" w:rsidRPr="00515CF0">
            <w:fldChar w:fldCharType="end"/>
          </w:r>
        </w:sdtContent>
      </w:sdt>
      <w:r w:rsidR="005554F5" w:rsidRPr="00515CF0">
        <w:t xml:space="preserve"> </w:t>
      </w:r>
      <w:r w:rsidR="00E32507" w:rsidRPr="00515CF0">
        <w:t>For the last ten years, the country made strives</w:t>
      </w:r>
      <w:r w:rsidR="005554F5" w:rsidRPr="00515CF0">
        <w:t xml:space="preserve"> to improve the surveillance system for communicable diseases. The primary instrument for disease surveillance is now the national guidelines, which outline how to identify and register, confirm and classify, notify and report communicable diseases; how to analy</w:t>
      </w:r>
      <w:r w:rsidR="002D7B38" w:rsidRPr="00515CF0">
        <w:t>z</w:t>
      </w:r>
      <w:r w:rsidR="005554F5" w:rsidRPr="00515CF0">
        <w:t xml:space="preserve">e data; how to investigate outbreaks; and how to use available information for making decisions to prevent and control infectious diseases. The NCDC determines and updates the list of notifiable diseases annually </w:t>
      </w:r>
      <w:r w:rsidR="00D41B90">
        <w:t>based on</w:t>
      </w:r>
      <w:r w:rsidR="005554F5" w:rsidRPr="00515CF0">
        <w:t xml:space="preserve"> the current epidemiological situation. The operational information on 72 notifiable diseases and conditions through the Electronic Integrated Disease Surveillance System (EIDSS) accumulates in the NCDC. Individual health care facilities are formally responsible for notifying public health cent</w:t>
      </w:r>
      <w:r w:rsidR="00E950D0" w:rsidRPr="00515CF0">
        <w:t>ers</w:t>
      </w:r>
      <w:r w:rsidR="005554F5" w:rsidRPr="00515CF0">
        <w:t xml:space="preserve"> of any clinically diagnosed or laboratory-confirmed cases. </w:t>
      </w:r>
      <w:sdt>
        <w:sdtPr>
          <w:id w:val="196441141"/>
          <w:citation/>
        </w:sdtPr>
        <w:sdtEndPr/>
        <w:sdtContent>
          <w:r w:rsidR="00CD03A0" w:rsidRPr="00515CF0">
            <w:fldChar w:fldCharType="begin"/>
          </w:r>
          <w:r w:rsidR="00CD03A0" w:rsidRPr="00515CF0">
            <w:instrText xml:space="preserve"> CITATION Wor17 \l 1033 </w:instrText>
          </w:r>
          <w:r w:rsidR="00CD03A0" w:rsidRPr="00515CF0">
            <w:fldChar w:fldCharType="separate"/>
          </w:r>
          <w:r w:rsidR="00CD03A0" w:rsidRPr="00515CF0">
            <w:rPr>
              <w:noProof/>
            </w:rPr>
            <w:t>[13]</w:t>
          </w:r>
          <w:r w:rsidR="00CD03A0" w:rsidRPr="00515CF0">
            <w:fldChar w:fldCharType="end"/>
          </w:r>
        </w:sdtContent>
      </w:sdt>
      <w:r w:rsidR="002D7B38" w:rsidRPr="00515CF0">
        <w:t xml:space="preserve"> Pandemic preparedness planning has been shown to be effective in Georgia </w:t>
      </w:r>
      <w:r w:rsidR="00C463D2" w:rsidRPr="00515CF0">
        <w:t>during the past pandemics.</w:t>
      </w:r>
      <w:r w:rsidR="00D22D2F" w:rsidRPr="00515CF0">
        <w:t xml:space="preserve"> </w:t>
      </w:r>
      <w:sdt>
        <w:sdtPr>
          <w:id w:val="853454574"/>
          <w:citation/>
        </w:sdtPr>
        <w:sdtEndPr/>
        <w:sdtContent>
          <w:r w:rsidR="00D22D2F" w:rsidRPr="00515CF0">
            <w:fldChar w:fldCharType="begin"/>
          </w:r>
          <w:r w:rsidR="00D22D2F" w:rsidRPr="00515CF0">
            <w:instrText xml:space="preserve"> CITATION The11 \l 1033 </w:instrText>
          </w:r>
          <w:r w:rsidR="00D22D2F" w:rsidRPr="00515CF0">
            <w:fldChar w:fldCharType="separate"/>
          </w:r>
          <w:r w:rsidR="00D22D2F" w:rsidRPr="00515CF0">
            <w:rPr>
              <w:noProof/>
            </w:rPr>
            <w:t>[14]</w:t>
          </w:r>
          <w:r w:rsidR="00D22D2F" w:rsidRPr="00515CF0">
            <w:fldChar w:fldCharType="end"/>
          </w:r>
        </w:sdtContent>
      </w:sdt>
      <w:r w:rsidR="00C463D2" w:rsidRPr="00515CF0">
        <w:t xml:space="preserve"> </w:t>
      </w:r>
    </w:p>
    <w:p w14:paraId="33E31C02" w14:textId="0D5A38D9" w:rsidR="00EE3D0A" w:rsidRPr="00515CF0" w:rsidRDefault="00EE3D0A" w:rsidP="00F16257">
      <w:pPr>
        <w:spacing w:after="90"/>
        <w:jc w:val="both"/>
      </w:pPr>
      <w:r w:rsidRPr="00515CF0">
        <w:t xml:space="preserve">The Global Health Security Agenda (GHSA) was launched in February 2014 to advance worldwide safety and security measures to protect nations from infectious disease threats. Georgia is actively involved </w:t>
      </w:r>
      <w:r w:rsidR="00687F61" w:rsidRPr="00515CF0">
        <w:t xml:space="preserve">in </w:t>
      </w:r>
      <w:r w:rsidR="00DB38BB">
        <w:t xml:space="preserve">the </w:t>
      </w:r>
      <w:r w:rsidR="00687F61" w:rsidRPr="00515CF0">
        <w:t>Global Health Security Agenda</w:t>
      </w:r>
      <w:r w:rsidR="004D479B" w:rsidRPr="00515CF0">
        <w:t>.</w:t>
      </w:r>
      <w:r w:rsidR="00687F61" w:rsidRPr="00515CF0">
        <w:t xml:space="preserve"> </w:t>
      </w:r>
      <w:r w:rsidRPr="00515CF0">
        <w:t xml:space="preserve">NCDC is also </w:t>
      </w:r>
      <w:r w:rsidR="00DB38BB">
        <w:t xml:space="preserve">a </w:t>
      </w:r>
      <w:r w:rsidR="004D479B" w:rsidRPr="00515CF0">
        <w:t>national focal point</w:t>
      </w:r>
      <w:r w:rsidRPr="00515CF0">
        <w:t xml:space="preserve"> for WHO</w:t>
      </w:r>
      <w:r w:rsidR="00605552" w:rsidRPr="00515CF0">
        <w:t>’s International Health Regulations</w:t>
      </w:r>
      <w:r w:rsidR="00C463D2" w:rsidRPr="00515CF0">
        <w:t>.</w:t>
      </w:r>
      <w:r w:rsidR="003568A0" w:rsidRPr="00515CF0">
        <w:t xml:space="preserve"> </w:t>
      </w:r>
      <w:sdt>
        <w:sdtPr>
          <w:id w:val="1198581412"/>
          <w:citation/>
        </w:sdtPr>
        <w:sdtEndPr/>
        <w:sdtContent>
          <w:r w:rsidR="0081751A" w:rsidRPr="00515CF0">
            <w:fldChar w:fldCharType="begin"/>
          </w:r>
          <w:r w:rsidR="0081751A" w:rsidRPr="00515CF0">
            <w:instrText xml:space="preserve"> CITATION Ric17 \l 1033 </w:instrText>
          </w:r>
          <w:r w:rsidR="0081751A" w:rsidRPr="00515CF0">
            <w:fldChar w:fldCharType="separate"/>
          </w:r>
          <w:r w:rsidR="0081751A" w:rsidRPr="00515CF0">
            <w:rPr>
              <w:noProof/>
            </w:rPr>
            <w:t>[7]</w:t>
          </w:r>
          <w:r w:rsidR="0081751A" w:rsidRPr="00515CF0">
            <w:fldChar w:fldCharType="end"/>
          </w:r>
        </w:sdtContent>
      </w:sdt>
      <w:r w:rsidR="00C463D2" w:rsidRPr="00515CF0">
        <w:t xml:space="preserve"> </w:t>
      </w:r>
      <w:r w:rsidRPr="00515CF0">
        <w:t xml:space="preserve"> </w:t>
      </w:r>
    </w:p>
    <w:p w14:paraId="428F7F46" w14:textId="59438C8F" w:rsidR="005728A4" w:rsidRPr="00515CF0" w:rsidRDefault="00802841" w:rsidP="005728A4">
      <w:r w:rsidRPr="00515CF0">
        <w:t xml:space="preserve">On 31 December 2019, the government of China confirmed, and the world learned that Wuhan health authorities were treating dozens of cases with the previously unknown, novel coronavirus. On 6 January 2020, the Ministry has alerted the Government of Georgia regarding the novel coronavirus and started adjusting the country pandemic preparedness plan to the newly identified virus. </w:t>
      </w:r>
      <w:r w:rsidR="009C5B22" w:rsidRPr="00515CF0">
        <w:t xml:space="preserve">The GoG </w:t>
      </w:r>
      <w:r w:rsidR="009C5B22" w:rsidRPr="00515CF0">
        <w:lastRenderedPageBreak/>
        <w:t>approved pandemic preparedness plan and established a special task force for coordinating COVID-19 response - Interagency Coordination Council.</w:t>
      </w:r>
      <w:r w:rsidR="00A77775" w:rsidRPr="00515CF0">
        <w:t xml:space="preserve"> </w:t>
      </w:r>
      <w:r w:rsidR="00EF735E" w:rsidRPr="00515CF0">
        <w:rPr>
          <w:rFonts w:cstheme="minorHAnsi"/>
        </w:rPr>
        <w:t xml:space="preserve">The active response to the COVID-19 outbreak in Georgia started on 25 January 2020, when emergency medical teams equipped with C-level Personal Protective Equipment and remote thermometers were placed at seven key points of entry. </w:t>
      </w:r>
      <w:r w:rsidR="00A77775" w:rsidRPr="00515CF0">
        <w:t xml:space="preserve">The first </w:t>
      </w:r>
      <w:r w:rsidR="00EF735E" w:rsidRPr="00515CF0">
        <w:t xml:space="preserve">COVID-19 </w:t>
      </w:r>
      <w:r w:rsidR="00A77775" w:rsidRPr="00515CF0">
        <w:t>case in Georgia was registered on</w:t>
      </w:r>
      <w:r w:rsidR="00E26370" w:rsidRPr="00515CF0">
        <w:t xml:space="preserve"> 26 February</w:t>
      </w:r>
      <w:r w:rsidR="007252BB" w:rsidRPr="00515CF0">
        <w:t xml:space="preserve"> and by 3 September there are </w:t>
      </w:r>
      <w:r w:rsidR="000F398A" w:rsidRPr="00515CF0">
        <w:t>1596 confir</w:t>
      </w:r>
      <w:r w:rsidR="00C52C0E" w:rsidRPr="00515CF0">
        <w:t xml:space="preserve">med novel coronavirus cases in the country with </w:t>
      </w:r>
      <w:r w:rsidR="000B1E6E" w:rsidRPr="00515CF0">
        <w:t xml:space="preserve">19 fatalities registered. </w:t>
      </w:r>
      <w:sdt>
        <w:sdtPr>
          <w:id w:val="15657346"/>
          <w:citation/>
        </w:sdtPr>
        <w:sdtEndPr/>
        <w:sdtContent>
          <w:r w:rsidR="00467E21" w:rsidRPr="00515CF0">
            <w:fldChar w:fldCharType="begin"/>
          </w:r>
          <w:r w:rsidR="00467E21" w:rsidRPr="00515CF0">
            <w:instrText xml:space="preserve"> CITATION Gov20 \l 1033 </w:instrText>
          </w:r>
          <w:r w:rsidR="00467E21" w:rsidRPr="00515CF0">
            <w:fldChar w:fldCharType="separate"/>
          </w:r>
          <w:r w:rsidR="00467E21" w:rsidRPr="00515CF0">
            <w:rPr>
              <w:noProof/>
            </w:rPr>
            <w:t>[15]</w:t>
          </w:r>
          <w:r w:rsidR="00467E21" w:rsidRPr="00515CF0">
            <w:fldChar w:fldCharType="end"/>
          </w:r>
        </w:sdtContent>
      </w:sdt>
    </w:p>
    <w:p w14:paraId="2D65A7E5" w14:textId="7099B7F5" w:rsidR="002B05A0" w:rsidRPr="00515CF0" w:rsidRDefault="0056537C" w:rsidP="00F16257">
      <w:pPr>
        <w:jc w:val="both"/>
        <w:rPr>
          <w:rFonts w:asciiTheme="majorHAnsi" w:hAnsiTheme="majorHAnsi" w:cstheme="majorHAnsi"/>
          <w:b/>
          <w:sz w:val="26"/>
        </w:rPr>
      </w:pPr>
      <w:r w:rsidRPr="00515CF0">
        <w:rPr>
          <w:rFonts w:asciiTheme="majorHAnsi" w:hAnsiTheme="majorHAnsi" w:cstheme="majorHAnsi"/>
          <w:b/>
          <w:sz w:val="26"/>
        </w:rPr>
        <w:t>Definitions and Concepts</w:t>
      </w:r>
    </w:p>
    <w:p w14:paraId="465DA7A1" w14:textId="7BEC8442" w:rsidR="0056537C" w:rsidRPr="00515CF0" w:rsidRDefault="0056537C" w:rsidP="00F16257">
      <w:pPr>
        <w:spacing w:after="90"/>
        <w:jc w:val="both"/>
        <w:rPr>
          <w:rFonts w:asciiTheme="majorHAnsi" w:hAnsiTheme="majorHAnsi" w:cstheme="majorHAnsi"/>
        </w:rPr>
      </w:pPr>
      <w:r w:rsidRPr="00515CF0">
        <w:rPr>
          <w:rFonts w:asciiTheme="majorHAnsi" w:hAnsiTheme="majorHAnsi" w:cstheme="majorHAnsi"/>
          <w:i/>
        </w:rPr>
        <w:t>The Implementation Research</w:t>
      </w:r>
      <w:r w:rsidRPr="00515CF0">
        <w:rPr>
          <w:rFonts w:asciiTheme="majorHAnsi" w:hAnsiTheme="majorHAnsi" w:cstheme="majorHAnsi"/>
        </w:rPr>
        <w:t xml:space="preserve"> </w:t>
      </w:r>
      <w:r w:rsidR="00673F42" w:rsidRPr="00515CF0">
        <w:rPr>
          <w:rFonts w:asciiTheme="majorHAnsi" w:hAnsiTheme="majorHAnsi" w:cstheme="majorHAnsi"/>
        </w:rPr>
        <w:t>is defined “</w:t>
      </w:r>
      <w:r w:rsidRPr="00515CF0">
        <w:rPr>
          <w:rFonts w:asciiTheme="majorHAnsi" w:hAnsiTheme="majorHAnsi" w:cstheme="majorHAnsi"/>
        </w:rPr>
        <w:t>as the scientific study of the effective delivery of health interventions in diverse settings and within the existing range of health systems. Implementation research goes beyond understanding what is and is not working, to explain also how and why implementation is going right or wrong in that particular setting</w:t>
      </w:r>
      <w:r w:rsidR="00673F42" w:rsidRPr="00515CF0">
        <w:rPr>
          <w:rFonts w:asciiTheme="majorHAnsi" w:hAnsiTheme="majorHAnsi" w:cstheme="majorHAnsi"/>
        </w:rPr>
        <w:t>”</w:t>
      </w:r>
      <w:r w:rsidR="000319C9" w:rsidRPr="00515CF0">
        <w:rPr>
          <w:rFonts w:asciiTheme="majorHAnsi" w:hAnsiTheme="majorHAnsi" w:cstheme="majorHAnsi"/>
        </w:rPr>
        <w:t xml:space="preserve">. </w:t>
      </w:r>
      <w:sdt>
        <w:sdtPr>
          <w:rPr>
            <w:rFonts w:asciiTheme="majorHAnsi" w:hAnsiTheme="majorHAnsi" w:cstheme="majorHAnsi"/>
          </w:rPr>
          <w:id w:val="-1724984976"/>
          <w:citation/>
        </w:sdtPr>
        <w:sdtEndPr/>
        <w:sdtContent>
          <w:r w:rsidR="000319C9" w:rsidRPr="00515CF0">
            <w:rPr>
              <w:rFonts w:asciiTheme="majorHAnsi" w:hAnsiTheme="majorHAnsi" w:cstheme="majorHAnsi"/>
            </w:rPr>
            <w:fldChar w:fldCharType="begin"/>
          </w:r>
          <w:r w:rsidR="000319C9" w:rsidRPr="00515CF0">
            <w:rPr>
              <w:rFonts w:asciiTheme="majorHAnsi" w:hAnsiTheme="majorHAnsi" w:cstheme="majorHAnsi"/>
            </w:rPr>
            <w:instrText xml:space="preserve"> CITATION DHP13 \l 1033 </w:instrText>
          </w:r>
          <w:r w:rsidR="000319C9" w:rsidRPr="00515CF0">
            <w:rPr>
              <w:rFonts w:asciiTheme="majorHAnsi" w:hAnsiTheme="majorHAnsi" w:cstheme="majorHAnsi"/>
            </w:rPr>
            <w:fldChar w:fldCharType="separate"/>
          </w:r>
          <w:r w:rsidR="00BD3D4B" w:rsidRPr="00515CF0">
            <w:rPr>
              <w:rFonts w:asciiTheme="majorHAnsi" w:hAnsiTheme="majorHAnsi" w:cstheme="majorHAnsi"/>
              <w:noProof/>
            </w:rPr>
            <w:t>[16]</w:t>
          </w:r>
          <w:r w:rsidR="000319C9" w:rsidRPr="00515CF0">
            <w:rPr>
              <w:rFonts w:asciiTheme="majorHAnsi" w:hAnsiTheme="majorHAnsi" w:cstheme="majorHAnsi"/>
            </w:rPr>
            <w:fldChar w:fldCharType="end"/>
          </w:r>
        </w:sdtContent>
      </w:sdt>
      <w:r w:rsidR="00F24470" w:rsidRPr="00515CF0">
        <w:rPr>
          <w:rFonts w:asciiTheme="majorHAnsi" w:hAnsiTheme="majorHAnsi" w:cstheme="majorHAnsi"/>
        </w:rPr>
        <w:t xml:space="preserve"> </w:t>
      </w:r>
    </w:p>
    <w:p w14:paraId="704C66A2" w14:textId="0C9A8BEC" w:rsidR="00DD39D2" w:rsidRPr="00515CF0" w:rsidRDefault="0056537C" w:rsidP="00634B04">
      <w:pPr>
        <w:spacing w:after="90"/>
        <w:jc w:val="both"/>
        <w:rPr>
          <w:rFonts w:asciiTheme="majorHAnsi" w:hAnsiTheme="majorHAnsi" w:cstheme="majorHAnsi"/>
        </w:rPr>
      </w:pPr>
      <w:r w:rsidRPr="00515CF0">
        <w:rPr>
          <w:rFonts w:asciiTheme="majorHAnsi" w:hAnsiTheme="majorHAnsi" w:cstheme="majorHAnsi"/>
          <w:i/>
        </w:rPr>
        <w:t>Health policy analysis</w:t>
      </w:r>
      <w:r w:rsidRPr="00515CF0">
        <w:rPr>
          <w:rFonts w:asciiTheme="majorHAnsi" w:hAnsiTheme="majorHAnsi" w:cstheme="majorHAnsi"/>
        </w:rPr>
        <w:t xml:space="preserve"> is defined as </w:t>
      </w:r>
      <w:r w:rsidR="00673F42" w:rsidRPr="00515CF0">
        <w:rPr>
          <w:rFonts w:asciiTheme="majorHAnsi" w:hAnsiTheme="majorHAnsi" w:cstheme="majorHAnsi"/>
        </w:rPr>
        <w:t>“</w:t>
      </w:r>
      <w:r w:rsidRPr="00515CF0">
        <w:rPr>
          <w:rFonts w:asciiTheme="majorHAnsi" w:hAnsiTheme="majorHAnsi" w:cstheme="majorHAnsi"/>
        </w:rPr>
        <w:t>a multi-disciplinary approach to public policy that aims to explain the interaction between institutions, interests and ideas in the policy process. It is useful both retrospectively and prospectively, to understand past policy failures and successes and to plan f</w:t>
      </w:r>
      <w:r w:rsidR="00101AE4" w:rsidRPr="00515CF0">
        <w:rPr>
          <w:rFonts w:asciiTheme="majorHAnsi" w:hAnsiTheme="majorHAnsi" w:cstheme="majorHAnsi"/>
        </w:rPr>
        <w:t>or future policy implementation</w:t>
      </w:r>
      <w:r w:rsidR="00673F42" w:rsidRPr="00515CF0">
        <w:rPr>
          <w:rFonts w:asciiTheme="majorHAnsi" w:hAnsiTheme="majorHAnsi" w:cstheme="majorHAnsi"/>
        </w:rPr>
        <w:t>”</w:t>
      </w:r>
      <w:r w:rsidR="00D4223E" w:rsidRPr="00515CF0">
        <w:rPr>
          <w:rFonts w:asciiTheme="majorHAnsi" w:hAnsiTheme="majorHAnsi" w:cstheme="majorHAnsi"/>
        </w:rPr>
        <w:t xml:space="preserve">. </w:t>
      </w:r>
      <w:sdt>
        <w:sdtPr>
          <w:rPr>
            <w:rFonts w:asciiTheme="majorHAnsi" w:hAnsiTheme="majorHAnsi" w:cstheme="majorHAnsi"/>
          </w:rPr>
          <w:id w:val="-1234232244"/>
          <w:citation/>
        </w:sdtPr>
        <w:sdtEndPr/>
        <w:sdtContent>
          <w:r w:rsidR="00D4223E" w:rsidRPr="00515CF0">
            <w:rPr>
              <w:rFonts w:asciiTheme="majorHAnsi" w:hAnsiTheme="majorHAnsi" w:cstheme="majorHAnsi"/>
            </w:rPr>
            <w:fldChar w:fldCharType="begin"/>
          </w:r>
          <w:r w:rsidR="00D4223E" w:rsidRPr="00515CF0">
            <w:rPr>
              <w:rFonts w:asciiTheme="majorHAnsi" w:hAnsiTheme="majorHAnsi" w:cstheme="majorHAnsi"/>
            </w:rPr>
            <w:instrText xml:space="preserve"> CITATION Wal08 \l 1033 </w:instrText>
          </w:r>
          <w:r w:rsidR="00D4223E" w:rsidRPr="00515CF0">
            <w:rPr>
              <w:rFonts w:asciiTheme="majorHAnsi" w:hAnsiTheme="majorHAnsi" w:cstheme="majorHAnsi"/>
            </w:rPr>
            <w:fldChar w:fldCharType="separate"/>
          </w:r>
          <w:r w:rsidR="00BD3D4B" w:rsidRPr="00515CF0">
            <w:rPr>
              <w:rFonts w:asciiTheme="majorHAnsi" w:hAnsiTheme="majorHAnsi" w:cstheme="majorHAnsi"/>
              <w:noProof/>
            </w:rPr>
            <w:t>[17]</w:t>
          </w:r>
          <w:r w:rsidR="00D4223E" w:rsidRPr="00515CF0">
            <w:rPr>
              <w:rFonts w:asciiTheme="majorHAnsi" w:hAnsiTheme="majorHAnsi" w:cstheme="majorHAnsi"/>
            </w:rPr>
            <w:fldChar w:fldCharType="end"/>
          </w:r>
        </w:sdtContent>
      </w:sdt>
    </w:p>
    <w:p w14:paraId="2E59813B" w14:textId="0ED75F28" w:rsidR="00E84123" w:rsidRPr="00515CF0" w:rsidRDefault="000B471F" w:rsidP="00634B04">
      <w:pPr>
        <w:pStyle w:val="Heading1"/>
        <w:jc w:val="both"/>
        <w:rPr>
          <w:rFonts w:asciiTheme="majorHAnsi" w:hAnsiTheme="majorHAnsi" w:cstheme="majorHAnsi"/>
        </w:rPr>
      </w:pPr>
      <w:r w:rsidRPr="00515CF0">
        <w:rPr>
          <w:rFonts w:asciiTheme="majorHAnsi" w:hAnsiTheme="majorHAnsi" w:cstheme="majorHAnsi"/>
        </w:rPr>
        <w:t xml:space="preserve">3. </w:t>
      </w:r>
      <w:r w:rsidR="00E84123" w:rsidRPr="00515CF0">
        <w:rPr>
          <w:rFonts w:asciiTheme="majorHAnsi" w:hAnsiTheme="majorHAnsi" w:cstheme="majorHAnsi"/>
        </w:rPr>
        <w:t>Methodology</w:t>
      </w:r>
    </w:p>
    <w:p w14:paraId="5E15EF64" w14:textId="2D356337" w:rsidR="00DD39D2" w:rsidRPr="00515CF0" w:rsidRDefault="00DD39D2" w:rsidP="00F16257">
      <w:pPr>
        <w:jc w:val="both"/>
        <w:rPr>
          <w:rFonts w:asciiTheme="majorHAnsi" w:hAnsiTheme="majorHAnsi" w:cstheme="majorHAnsi"/>
          <w:b/>
          <w:sz w:val="26"/>
        </w:rPr>
      </w:pPr>
      <w:r w:rsidRPr="00515CF0">
        <w:rPr>
          <w:rFonts w:asciiTheme="majorHAnsi" w:hAnsiTheme="majorHAnsi" w:cstheme="majorHAnsi"/>
          <w:b/>
          <w:sz w:val="26"/>
        </w:rPr>
        <w:t>Study Design</w:t>
      </w:r>
    </w:p>
    <w:p w14:paraId="0A8DAD97" w14:textId="6BC2B42D" w:rsidR="00263F0F" w:rsidRPr="00515CF0" w:rsidRDefault="004F308A" w:rsidP="00F16257">
      <w:pPr>
        <w:autoSpaceDE w:val="0"/>
        <w:autoSpaceDN w:val="0"/>
        <w:adjustRightInd w:val="0"/>
        <w:jc w:val="both"/>
        <w:rPr>
          <w:rFonts w:asciiTheme="majorHAnsi" w:hAnsiTheme="majorHAnsi" w:cstheme="majorHAnsi"/>
        </w:rPr>
      </w:pPr>
      <w:r w:rsidRPr="00515CF0">
        <w:rPr>
          <w:rFonts w:asciiTheme="majorHAnsi" w:hAnsiTheme="majorHAnsi" w:cstheme="majorHAnsi"/>
        </w:rPr>
        <w:t>Overall approach used for the</w:t>
      </w:r>
      <w:r w:rsidR="00CF12E5" w:rsidRPr="00515CF0">
        <w:rPr>
          <w:rFonts w:asciiTheme="majorHAnsi" w:hAnsiTheme="majorHAnsi" w:cstheme="majorHAnsi"/>
        </w:rPr>
        <w:t xml:space="preserve"> proposed</w:t>
      </w:r>
      <w:r w:rsidRPr="00515CF0">
        <w:rPr>
          <w:rFonts w:asciiTheme="majorHAnsi" w:hAnsiTheme="majorHAnsi" w:cstheme="majorHAnsi"/>
        </w:rPr>
        <w:t xml:space="preserve"> study </w:t>
      </w:r>
      <w:r w:rsidR="006234E1" w:rsidRPr="00515CF0">
        <w:rPr>
          <w:rFonts w:asciiTheme="majorHAnsi" w:hAnsiTheme="majorHAnsi" w:cstheme="majorHAnsi"/>
        </w:rPr>
        <w:t>is</w:t>
      </w:r>
      <w:r w:rsidR="00CF12E5" w:rsidRPr="00515CF0">
        <w:rPr>
          <w:rFonts w:asciiTheme="majorHAnsi" w:hAnsiTheme="majorHAnsi" w:cstheme="majorHAnsi"/>
        </w:rPr>
        <w:t xml:space="preserve"> an </w:t>
      </w:r>
      <w:r w:rsidR="00C65E85" w:rsidRPr="00515CF0">
        <w:rPr>
          <w:rFonts w:asciiTheme="majorHAnsi" w:hAnsiTheme="majorHAnsi" w:cstheme="majorHAnsi"/>
        </w:rPr>
        <w:t>exploratory and explanatory</w:t>
      </w:r>
      <w:r w:rsidR="00CF12E5" w:rsidRPr="00515CF0">
        <w:rPr>
          <w:rFonts w:asciiTheme="majorHAnsi" w:hAnsiTheme="majorHAnsi" w:cstheme="majorHAnsi"/>
        </w:rPr>
        <w:t xml:space="preserve">, holistic single </w:t>
      </w:r>
      <w:r w:rsidR="00161A0C" w:rsidRPr="00515CF0">
        <w:rPr>
          <w:rFonts w:asciiTheme="majorHAnsi" w:hAnsiTheme="majorHAnsi" w:cstheme="majorHAnsi"/>
        </w:rPr>
        <w:t>case study design</w:t>
      </w:r>
      <w:r w:rsidR="001C4940" w:rsidRPr="00515CF0">
        <w:rPr>
          <w:rFonts w:asciiTheme="majorHAnsi" w:hAnsiTheme="majorHAnsi" w:cstheme="majorHAnsi"/>
        </w:rPr>
        <w:t xml:space="preserve"> as this method is best suited for observation and systematic documentation of the “real time” policy implementation and allows exploration of both “how” and “why</w:t>
      </w:r>
      <w:r w:rsidR="001F4E03" w:rsidRPr="00515CF0">
        <w:rPr>
          <w:rFonts w:asciiTheme="majorHAnsi" w:hAnsiTheme="majorHAnsi" w:cstheme="majorHAnsi"/>
        </w:rPr>
        <w:t xml:space="preserve">”, </w:t>
      </w:r>
      <w:r w:rsidR="001F4E03" w:rsidRPr="00515CF0">
        <w:rPr>
          <w:rFonts w:asciiTheme="majorHAnsi" w:eastAsia="Times New Roman" w:hAnsiTheme="majorHAnsi" w:cstheme="majorHAnsi"/>
          <w:lang w:eastAsia="en-US"/>
        </w:rPr>
        <w:t>while taking into consideration how the policy at interest is influenced by the context within which it is situated</w:t>
      </w:r>
      <w:r w:rsidR="00CF12E5" w:rsidRPr="00515CF0">
        <w:rPr>
          <w:rFonts w:asciiTheme="majorHAnsi" w:hAnsiTheme="majorHAnsi" w:cstheme="majorHAnsi"/>
        </w:rPr>
        <w:t>.</w:t>
      </w:r>
      <w:sdt>
        <w:sdtPr>
          <w:rPr>
            <w:rFonts w:asciiTheme="majorHAnsi" w:hAnsiTheme="majorHAnsi" w:cstheme="majorHAnsi"/>
          </w:rPr>
          <w:id w:val="897632602"/>
          <w:citation/>
        </w:sdtPr>
        <w:sdtEndPr/>
        <w:sdtContent>
          <w:r w:rsidR="000F544D" w:rsidRPr="00515CF0">
            <w:rPr>
              <w:rFonts w:asciiTheme="majorHAnsi" w:hAnsiTheme="majorHAnsi" w:cstheme="majorHAnsi"/>
            </w:rPr>
            <w:fldChar w:fldCharType="begin"/>
          </w:r>
          <w:r w:rsidR="000F544D" w:rsidRPr="00515CF0">
            <w:rPr>
              <w:rFonts w:asciiTheme="majorHAnsi" w:hAnsiTheme="majorHAnsi" w:cstheme="majorHAnsi"/>
            </w:rPr>
            <w:instrText xml:space="preserve"> CITATION Yin03 \l 1033 </w:instrText>
          </w:r>
          <w:r w:rsidR="000F544D" w:rsidRPr="00515CF0">
            <w:rPr>
              <w:rFonts w:asciiTheme="majorHAnsi" w:hAnsiTheme="majorHAnsi" w:cstheme="majorHAnsi"/>
            </w:rPr>
            <w:fldChar w:fldCharType="separate"/>
          </w:r>
          <w:r w:rsidR="000F544D" w:rsidRPr="00515CF0">
            <w:rPr>
              <w:rFonts w:asciiTheme="majorHAnsi" w:hAnsiTheme="majorHAnsi" w:cstheme="majorHAnsi"/>
              <w:noProof/>
            </w:rPr>
            <w:t xml:space="preserve"> [17]</w:t>
          </w:r>
          <w:r w:rsidR="000F544D" w:rsidRPr="00515CF0">
            <w:rPr>
              <w:rFonts w:asciiTheme="majorHAnsi" w:hAnsiTheme="majorHAnsi" w:cstheme="majorHAnsi"/>
            </w:rPr>
            <w:fldChar w:fldCharType="end"/>
          </w:r>
        </w:sdtContent>
      </w:sdt>
      <w:r w:rsidR="001F4E03" w:rsidRPr="00515CF0">
        <w:rPr>
          <w:rFonts w:asciiTheme="majorHAnsi" w:hAnsiTheme="majorHAnsi" w:cstheme="majorHAnsi"/>
        </w:rPr>
        <w:t xml:space="preserve"> </w:t>
      </w:r>
      <w:r w:rsidR="0031573F" w:rsidRPr="00515CF0">
        <w:rPr>
          <w:rFonts w:asciiTheme="majorHAnsi" w:hAnsiTheme="majorHAnsi" w:cstheme="majorHAnsi"/>
        </w:rPr>
        <w:t xml:space="preserve">As proposed by Keen and Packwood </w:t>
      </w:r>
      <w:r w:rsidR="00C64D36" w:rsidRPr="00515CF0">
        <w:rPr>
          <w:rFonts w:asciiTheme="majorHAnsi" w:hAnsiTheme="majorHAnsi" w:cstheme="majorHAnsi"/>
        </w:rPr>
        <w:t>–</w:t>
      </w:r>
      <w:r w:rsidR="0031573F" w:rsidRPr="00515CF0">
        <w:rPr>
          <w:rFonts w:asciiTheme="majorHAnsi" w:hAnsiTheme="majorHAnsi" w:cstheme="majorHAnsi"/>
        </w:rPr>
        <w:t xml:space="preserve"> </w:t>
      </w:r>
      <w:r w:rsidR="00C64D36" w:rsidRPr="00515CF0">
        <w:rPr>
          <w:rFonts w:asciiTheme="majorHAnsi" w:hAnsiTheme="majorHAnsi" w:cstheme="majorHAnsi"/>
        </w:rPr>
        <w:t>“</w:t>
      </w:r>
      <w:r w:rsidR="0031573F" w:rsidRPr="00515CF0">
        <w:rPr>
          <w:rFonts w:asciiTheme="majorHAnsi" w:hAnsiTheme="majorHAnsi" w:cstheme="majorHAnsi"/>
        </w:rPr>
        <w:t>Case studies are valuable where policy change is occurring in messy rea</w:t>
      </w:r>
      <w:r w:rsidR="00263F0F" w:rsidRPr="00515CF0">
        <w:rPr>
          <w:rFonts w:asciiTheme="majorHAnsi" w:hAnsiTheme="majorHAnsi" w:cstheme="majorHAnsi"/>
        </w:rPr>
        <w:t xml:space="preserve">l world settings”, as in </w:t>
      </w:r>
      <w:r w:rsidR="00E63222" w:rsidRPr="00515CF0">
        <w:rPr>
          <w:rFonts w:asciiTheme="majorHAnsi" w:hAnsiTheme="majorHAnsi" w:cstheme="majorHAnsi"/>
        </w:rPr>
        <w:t>Georgia</w:t>
      </w:r>
      <w:r w:rsidR="0031573F" w:rsidRPr="00515CF0">
        <w:rPr>
          <w:rFonts w:asciiTheme="majorHAnsi" w:hAnsiTheme="majorHAnsi" w:cstheme="majorHAnsi"/>
        </w:rPr>
        <w:t xml:space="preserve"> and “…it is important to understand why such interventions succeed or fail”.</w:t>
      </w:r>
      <w:sdt>
        <w:sdtPr>
          <w:rPr>
            <w:rFonts w:asciiTheme="majorHAnsi" w:hAnsiTheme="majorHAnsi" w:cstheme="majorHAnsi"/>
          </w:rPr>
          <w:id w:val="1738976417"/>
          <w:citation/>
        </w:sdtPr>
        <w:sdtEndPr/>
        <w:sdtContent>
          <w:r w:rsidR="00A044C3" w:rsidRPr="00515CF0">
            <w:rPr>
              <w:rFonts w:asciiTheme="majorHAnsi" w:hAnsiTheme="majorHAnsi" w:cstheme="majorHAnsi"/>
            </w:rPr>
            <w:fldChar w:fldCharType="begin"/>
          </w:r>
          <w:r w:rsidR="00A044C3" w:rsidRPr="00515CF0">
            <w:rPr>
              <w:rFonts w:asciiTheme="majorHAnsi" w:hAnsiTheme="majorHAnsi" w:cstheme="majorHAnsi"/>
            </w:rPr>
            <w:instrText xml:space="preserve"> CITATION Kee99 \l 1033 </w:instrText>
          </w:r>
          <w:r w:rsidR="00A044C3" w:rsidRPr="00515CF0">
            <w:rPr>
              <w:rFonts w:asciiTheme="majorHAnsi" w:hAnsiTheme="majorHAnsi" w:cstheme="majorHAnsi"/>
            </w:rPr>
            <w:fldChar w:fldCharType="separate"/>
          </w:r>
          <w:r w:rsidR="00A044C3" w:rsidRPr="00515CF0">
            <w:rPr>
              <w:rFonts w:asciiTheme="majorHAnsi" w:hAnsiTheme="majorHAnsi" w:cstheme="majorHAnsi"/>
              <w:noProof/>
            </w:rPr>
            <w:t xml:space="preserve"> [18]</w:t>
          </w:r>
          <w:r w:rsidR="00A044C3" w:rsidRPr="00515CF0">
            <w:rPr>
              <w:rFonts w:asciiTheme="majorHAnsi" w:hAnsiTheme="majorHAnsi" w:cstheme="majorHAnsi"/>
            </w:rPr>
            <w:fldChar w:fldCharType="end"/>
          </w:r>
        </w:sdtContent>
      </w:sdt>
      <w:r w:rsidR="00263F0F" w:rsidRPr="00515CF0">
        <w:rPr>
          <w:rFonts w:asciiTheme="majorHAnsi" w:hAnsiTheme="majorHAnsi" w:cstheme="majorHAnsi"/>
        </w:rPr>
        <w:t xml:space="preserve"> The design will also allow both retrospective and prospective analysis of the policy initiative studied. The case study design will help to obtain </w:t>
      </w:r>
      <w:r w:rsidR="00807779" w:rsidRPr="00515CF0">
        <w:rPr>
          <w:rFonts w:asciiTheme="majorHAnsi" w:hAnsiTheme="majorHAnsi" w:cstheme="majorHAnsi"/>
        </w:rPr>
        <w:t xml:space="preserve">a </w:t>
      </w:r>
      <w:r w:rsidR="00263F0F" w:rsidRPr="00515CF0">
        <w:rPr>
          <w:rFonts w:asciiTheme="majorHAnsi" w:hAnsiTheme="majorHAnsi" w:cstheme="majorHAnsi"/>
        </w:rPr>
        <w:t xml:space="preserve">comprehensive description </w:t>
      </w:r>
      <w:r w:rsidR="00807779" w:rsidRPr="00515CF0">
        <w:rPr>
          <w:rFonts w:asciiTheme="majorHAnsi" w:hAnsiTheme="majorHAnsi" w:cstheme="majorHAnsi"/>
        </w:rPr>
        <w:t xml:space="preserve">of </w:t>
      </w:r>
      <w:r w:rsidR="00263F0F" w:rsidRPr="00515CF0">
        <w:rPr>
          <w:rFonts w:asciiTheme="majorHAnsi" w:hAnsiTheme="majorHAnsi" w:cstheme="majorHAnsi"/>
        </w:rPr>
        <w:t xml:space="preserve">how the </w:t>
      </w:r>
      <w:r w:rsidR="00661114" w:rsidRPr="00515CF0">
        <w:rPr>
          <w:rFonts w:asciiTheme="majorHAnsi" w:hAnsiTheme="majorHAnsi" w:cstheme="majorHAnsi"/>
        </w:rPr>
        <w:t xml:space="preserve">COVID-19 response </w:t>
      </w:r>
      <w:r w:rsidR="00EE1AE0" w:rsidRPr="00515CF0">
        <w:rPr>
          <w:rFonts w:asciiTheme="majorHAnsi" w:hAnsiTheme="majorHAnsi" w:cstheme="majorHAnsi"/>
        </w:rPr>
        <w:t xml:space="preserve">planning and implementation </w:t>
      </w:r>
      <w:r w:rsidR="00661114" w:rsidRPr="00515CF0">
        <w:rPr>
          <w:rFonts w:asciiTheme="majorHAnsi" w:hAnsiTheme="majorHAnsi" w:cstheme="majorHAnsi"/>
        </w:rPr>
        <w:t xml:space="preserve">unfolded in the country, </w:t>
      </w:r>
      <w:r w:rsidR="00BF3ABD" w:rsidRPr="00515CF0">
        <w:rPr>
          <w:rFonts w:asciiTheme="majorHAnsi" w:hAnsiTheme="majorHAnsi" w:cstheme="majorHAnsi"/>
        </w:rPr>
        <w:t xml:space="preserve">when and how the decisions were made to adopt </w:t>
      </w:r>
      <w:r w:rsidR="00BA2B39" w:rsidRPr="00515CF0">
        <w:rPr>
          <w:rFonts w:asciiTheme="majorHAnsi" w:hAnsiTheme="majorHAnsi" w:cstheme="majorHAnsi"/>
        </w:rPr>
        <w:t xml:space="preserve">and </w:t>
      </w:r>
      <w:r w:rsidR="00117EF9" w:rsidRPr="00515CF0">
        <w:rPr>
          <w:rFonts w:asciiTheme="majorHAnsi" w:hAnsiTheme="majorHAnsi" w:cstheme="majorHAnsi"/>
        </w:rPr>
        <w:t xml:space="preserve">eventually lift </w:t>
      </w:r>
      <w:r w:rsidR="00C174A4" w:rsidRPr="00515CF0">
        <w:rPr>
          <w:rFonts w:asciiTheme="majorHAnsi" w:hAnsiTheme="majorHAnsi" w:cstheme="majorHAnsi"/>
        </w:rPr>
        <w:t>respective</w:t>
      </w:r>
      <w:r w:rsidR="0030751F" w:rsidRPr="00515CF0">
        <w:rPr>
          <w:rFonts w:asciiTheme="majorHAnsi" w:hAnsiTheme="majorHAnsi" w:cstheme="majorHAnsi"/>
        </w:rPr>
        <w:t xml:space="preserve"> prevention</w:t>
      </w:r>
      <w:r w:rsidR="00EE1AE0" w:rsidRPr="00515CF0">
        <w:rPr>
          <w:rFonts w:asciiTheme="majorHAnsi" w:hAnsiTheme="majorHAnsi" w:cstheme="majorHAnsi"/>
        </w:rPr>
        <w:t>,</w:t>
      </w:r>
      <w:r w:rsidR="00C174A4" w:rsidRPr="00515CF0">
        <w:rPr>
          <w:rFonts w:asciiTheme="majorHAnsi" w:hAnsiTheme="majorHAnsi" w:cstheme="majorHAnsi"/>
        </w:rPr>
        <w:t xml:space="preserve"> response</w:t>
      </w:r>
      <w:r w:rsidR="00EE1AE0" w:rsidRPr="00515CF0">
        <w:rPr>
          <w:rFonts w:asciiTheme="majorHAnsi" w:hAnsiTheme="majorHAnsi" w:cstheme="majorHAnsi"/>
        </w:rPr>
        <w:t xml:space="preserve"> and mitigation</w:t>
      </w:r>
      <w:r w:rsidR="00C174A4" w:rsidRPr="00515CF0">
        <w:rPr>
          <w:rFonts w:asciiTheme="majorHAnsi" w:hAnsiTheme="majorHAnsi" w:cstheme="majorHAnsi"/>
        </w:rPr>
        <w:t xml:space="preserve"> measures, including the travel restrictions,</w:t>
      </w:r>
      <w:r w:rsidR="00776F42" w:rsidRPr="00515CF0">
        <w:rPr>
          <w:rFonts w:asciiTheme="majorHAnsi" w:hAnsiTheme="majorHAnsi" w:cstheme="majorHAnsi"/>
        </w:rPr>
        <w:t xml:space="preserve"> social distancing</w:t>
      </w:r>
      <w:r w:rsidR="00811CBE" w:rsidRPr="00515CF0">
        <w:rPr>
          <w:rFonts w:asciiTheme="majorHAnsi" w:hAnsiTheme="majorHAnsi" w:cstheme="majorHAnsi"/>
        </w:rPr>
        <w:t xml:space="preserve"> and lockdown measures</w:t>
      </w:r>
      <w:r w:rsidR="00776F42" w:rsidRPr="00515CF0">
        <w:rPr>
          <w:rFonts w:asciiTheme="majorHAnsi" w:hAnsiTheme="majorHAnsi" w:cstheme="majorHAnsi"/>
        </w:rPr>
        <w:t xml:space="preserve">, </w:t>
      </w:r>
      <w:r w:rsidR="00811CBE" w:rsidRPr="00515CF0">
        <w:rPr>
          <w:rFonts w:asciiTheme="majorHAnsi" w:hAnsiTheme="majorHAnsi" w:cstheme="majorHAnsi"/>
        </w:rPr>
        <w:t xml:space="preserve">health sector </w:t>
      </w:r>
      <w:r w:rsidR="00776F42" w:rsidRPr="00515CF0">
        <w:rPr>
          <w:rFonts w:asciiTheme="majorHAnsi" w:hAnsiTheme="majorHAnsi" w:cstheme="majorHAnsi"/>
        </w:rPr>
        <w:t>surge capacity planning and mobili</w:t>
      </w:r>
      <w:r w:rsidR="00117EF9" w:rsidRPr="00515CF0">
        <w:rPr>
          <w:rFonts w:asciiTheme="majorHAnsi" w:hAnsiTheme="majorHAnsi" w:cstheme="majorHAnsi"/>
        </w:rPr>
        <w:t>z</w:t>
      </w:r>
      <w:r w:rsidR="00776F42" w:rsidRPr="00515CF0">
        <w:rPr>
          <w:rFonts w:asciiTheme="majorHAnsi" w:hAnsiTheme="majorHAnsi" w:cstheme="majorHAnsi"/>
        </w:rPr>
        <w:t>at</w:t>
      </w:r>
      <w:r w:rsidR="00117EF9" w:rsidRPr="00515CF0">
        <w:rPr>
          <w:rFonts w:asciiTheme="majorHAnsi" w:hAnsiTheme="majorHAnsi" w:cstheme="majorHAnsi"/>
        </w:rPr>
        <w:t>i</w:t>
      </w:r>
      <w:r w:rsidR="00776F42" w:rsidRPr="00515CF0">
        <w:rPr>
          <w:rFonts w:asciiTheme="majorHAnsi" w:hAnsiTheme="majorHAnsi" w:cstheme="majorHAnsi"/>
        </w:rPr>
        <w:t>on</w:t>
      </w:r>
      <w:r w:rsidR="00263F0F" w:rsidRPr="00515CF0">
        <w:rPr>
          <w:rFonts w:asciiTheme="majorHAnsi" w:hAnsiTheme="majorHAnsi" w:cstheme="majorHAnsi"/>
        </w:rPr>
        <w:t xml:space="preserve">, </w:t>
      </w:r>
      <w:r w:rsidR="00811CBE" w:rsidRPr="00515CF0">
        <w:rPr>
          <w:rFonts w:asciiTheme="majorHAnsi" w:hAnsiTheme="majorHAnsi" w:cstheme="majorHAnsi"/>
        </w:rPr>
        <w:t xml:space="preserve">etc. </w:t>
      </w:r>
    </w:p>
    <w:p w14:paraId="784940A9" w14:textId="77777777" w:rsidR="00E84123" w:rsidRPr="00515CF0" w:rsidRDefault="00E84123" w:rsidP="00F16257">
      <w:pPr>
        <w:spacing w:before="240" w:after="240"/>
        <w:jc w:val="both"/>
        <w:rPr>
          <w:rFonts w:asciiTheme="majorHAnsi" w:hAnsiTheme="majorHAnsi" w:cstheme="majorHAnsi"/>
          <w:b/>
          <w:bCs/>
          <w:sz w:val="26"/>
        </w:rPr>
      </w:pPr>
      <w:r w:rsidRPr="00515CF0">
        <w:rPr>
          <w:rFonts w:asciiTheme="majorHAnsi" w:hAnsiTheme="majorHAnsi" w:cstheme="majorHAnsi"/>
          <w:b/>
          <w:bCs/>
          <w:sz w:val="26"/>
        </w:rPr>
        <w:t>Conceptual framework</w:t>
      </w:r>
    </w:p>
    <w:p w14:paraId="4962CC74" w14:textId="6900725F" w:rsidR="00AB123A" w:rsidRPr="00515CF0" w:rsidRDefault="00AC729E" w:rsidP="00AB123A">
      <w:pPr>
        <w:autoSpaceDE w:val="0"/>
        <w:autoSpaceDN w:val="0"/>
        <w:adjustRightInd w:val="0"/>
        <w:jc w:val="both"/>
        <w:rPr>
          <w:rFonts w:asciiTheme="majorHAnsi" w:hAnsiTheme="majorHAnsi" w:cstheme="majorHAnsi"/>
        </w:rPr>
      </w:pPr>
      <w:r w:rsidRPr="00515CF0">
        <w:rPr>
          <w:rFonts w:asciiTheme="majorHAnsi" w:hAnsiTheme="majorHAnsi" w:cstheme="majorHAnsi"/>
        </w:rPr>
        <w:t>From the policy perspective</w:t>
      </w:r>
      <w:r w:rsidR="00B572C9">
        <w:rPr>
          <w:rFonts w:asciiTheme="majorHAnsi" w:hAnsiTheme="majorHAnsi" w:cstheme="majorHAnsi"/>
        </w:rPr>
        <w:t>,</w:t>
      </w:r>
      <w:r w:rsidRPr="00515CF0">
        <w:rPr>
          <w:rFonts w:asciiTheme="majorHAnsi" w:hAnsiTheme="majorHAnsi" w:cstheme="majorHAnsi"/>
        </w:rPr>
        <w:t xml:space="preserve"> we </w:t>
      </w:r>
      <w:r w:rsidR="00AB123A" w:rsidRPr="00515CF0">
        <w:rPr>
          <w:rFonts w:asciiTheme="majorHAnsi" w:hAnsiTheme="majorHAnsi" w:cstheme="majorHAnsi"/>
        </w:rPr>
        <w:t xml:space="preserve">regard </w:t>
      </w:r>
      <w:r w:rsidR="005F6564" w:rsidRPr="00515CF0">
        <w:rPr>
          <w:rFonts w:asciiTheme="majorHAnsi" w:hAnsiTheme="majorHAnsi" w:cstheme="majorHAnsi"/>
        </w:rPr>
        <w:t xml:space="preserve">the </w:t>
      </w:r>
      <w:r w:rsidR="00EC5490" w:rsidRPr="00515CF0">
        <w:rPr>
          <w:rFonts w:asciiTheme="majorHAnsi" w:hAnsiTheme="majorHAnsi" w:cstheme="majorHAnsi"/>
        </w:rPr>
        <w:t xml:space="preserve">COVID-19 response as a </w:t>
      </w:r>
      <w:r w:rsidR="005F6564" w:rsidRPr="00515CF0">
        <w:rPr>
          <w:rFonts w:asciiTheme="majorHAnsi" w:hAnsiTheme="majorHAnsi" w:cstheme="majorHAnsi"/>
        </w:rPr>
        <w:t>c</w:t>
      </w:r>
      <w:r w:rsidR="00AB123A" w:rsidRPr="00515CF0">
        <w:rPr>
          <w:rFonts w:asciiTheme="majorHAnsi" w:hAnsiTheme="majorHAnsi" w:cstheme="majorHAnsi"/>
        </w:rPr>
        <w:t xml:space="preserve">risis management </w:t>
      </w:r>
      <w:r w:rsidRPr="00515CF0">
        <w:rPr>
          <w:rFonts w:asciiTheme="majorHAnsi" w:hAnsiTheme="majorHAnsi" w:cstheme="majorHAnsi"/>
        </w:rPr>
        <w:t xml:space="preserve">case. </w:t>
      </w:r>
      <w:r w:rsidR="009F5A99" w:rsidRPr="00515CF0">
        <w:rPr>
          <w:rFonts w:asciiTheme="majorHAnsi" w:hAnsiTheme="majorHAnsi" w:cstheme="majorHAnsi"/>
        </w:rPr>
        <w:t xml:space="preserve">Crisis management </w:t>
      </w:r>
      <w:r w:rsidR="00984EE7" w:rsidRPr="00515CF0">
        <w:rPr>
          <w:rFonts w:asciiTheme="majorHAnsi" w:hAnsiTheme="majorHAnsi" w:cstheme="majorHAnsi"/>
        </w:rPr>
        <w:t xml:space="preserve">encompasses </w:t>
      </w:r>
      <w:r w:rsidR="00AB123A" w:rsidRPr="00515CF0">
        <w:rPr>
          <w:rFonts w:asciiTheme="majorHAnsi" w:hAnsiTheme="majorHAnsi" w:cstheme="majorHAnsi"/>
        </w:rPr>
        <w:t xml:space="preserve">societal actions in response to situations where there is a threat to core values, urgency to take action, and uncertainty concerning the situation and courses of action </w:t>
      </w:r>
      <w:sdt>
        <w:sdtPr>
          <w:rPr>
            <w:rFonts w:asciiTheme="majorHAnsi" w:hAnsiTheme="majorHAnsi" w:cstheme="majorHAnsi"/>
          </w:rPr>
          <w:id w:val="-720519369"/>
          <w:citation/>
        </w:sdtPr>
        <w:sdtEndPr/>
        <w:sdtContent>
          <w:r w:rsidR="00F62960" w:rsidRPr="00515CF0">
            <w:rPr>
              <w:rFonts w:asciiTheme="majorHAnsi" w:hAnsiTheme="majorHAnsi" w:cstheme="majorHAnsi"/>
            </w:rPr>
            <w:fldChar w:fldCharType="begin"/>
          </w:r>
          <w:r w:rsidR="00F62960" w:rsidRPr="00515CF0">
            <w:rPr>
              <w:rFonts w:asciiTheme="majorHAnsi" w:hAnsiTheme="majorHAnsi" w:cstheme="majorHAnsi"/>
            </w:rPr>
            <w:instrText xml:space="preserve"> CITATION Ros89 \l 1033 </w:instrText>
          </w:r>
          <w:r w:rsidR="00F62960" w:rsidRPr="00515CF0">
            <w:rPr>
              <w:rFonts w:asciiTheme="majorHAnsi" w:hAnsiTheme="majorHAnsi" w:cstheme="majorHAnsi"/>
            </w:rPr>
            <w:fldChar w:fldCharType="separate"/>
          </w:r>
          <w:r w:rsidR="00F62960" w:rsidRPr="00515CF0">
            <w:rPr>
              <w:rFonts w:asciiTheme="majorHAnsi" w:hAnsiTheme="majorHAnsi" w:cstheme="majorHAnsi"/>
              <w:noProof/>
            </w:rPr>
            <w:t>[19]</w:t>
          </w:r>
          <w:r w:rsidR="00F62960" w:rsidRPr="00515CF0">
            <w:rPr>
              <w:rFonts w:asciiTheme="majorHAnsi" w:hAnsiTheme="majorHAnsi" w:cstheme="majorHAnsi"/>
            </w:rPr>
            <w:fldChar w:fldCharType="end"/>
          </w:r>
        </w:sdtContent>
      </w:sdt>
      <w:r w:rsidR="00AB123A" w:rsidRPr="00515CF0">
        <w:rPr>
          <w:rFonts w:asciiTheme="majorHAnsi" w:hAnsiTheme="majorHAnsi" w:cstheme="majorHAnsi"/>
        </w:rPr>
        <w:t xml:space="preserve">. Crisis response and management </w:t>
      </w:r>
      <w:r w:rsidR="004A700B" w:rsidRPr="00515CF0">
        <w:rPr>
          <w:rFonts w:asciiTheme="majorHAnsi" w:hAnsiTheme="majorHAnsi" w:cstheme="majorHAnsi"/>
        </w:rPr>
        <w:t xml:space="preserve">process </w:t>
      </w:r>
      <w:r w:rsidR="00AB123A" w:rsidRPr="00515CF0">
        <w:rPr>
          <w:rFonts w:asciiTheme="majorHAnsi" w:hAnsiTheme="majorHAnsi" w:cstheme="majorHAnsi"/>
        </w:rPr>
        <w:t xml:space="preserve">share </w:t>
      </w:r>
      <w:r w:rsidR="006655EF" w:rsidRPr="00515CF0">
        <w:rPr>
          <w:rFonts w:asciiTheme="majorHAnsi" w:hAnsiTheme="majorHAnsi" w:cstheme="majorHAnsi"/>
        </w:rPr>
        <w:t xml:space="preserve">with health policy </w:t>
      </w:r>
      <w:r w:rsidR="00AB123A" w:rsidRPr="00515CF0">
        <w:rPr>
          <w:rFonts w:asciiTheme="majorHAnsi" w:hAnsiTheme="majorHAnsi" w:cstheme="majorHAnsi"/>
        </w:rPr>
        <w:t>a</w:t>
      </w:r>
      <w:r w:rsidR="00B572C9">
        <w:rPr>
          <w:rFonts w:asciiTheme="majorHAnsi" w:hAnsiTheme="majorHAnsi" w:cstheme="majorHAnsi"/>
        </w:rPr>
        <w:t xml:space="preserve"> clos</w:t>
      </w:r>
      <w:r w:rsidR="00AB123A" w:rsidRPr="00515CF0">
        <w:rPr>
          <w:rFonts w:asciiTheme="majorHAnsi" w:hAnsiTheme="majorHAnsi" w:cstheme="majorHAnsi"/>
        </w:rPr>
        <w:t>e interdependence with (</w:t>
      </w:r>
      <w:r w:rsidR="00BD3D4B" w:rsidRPr="00515CF0">
        <w:rPr>
          <w:rFonts w:asciiTheme="majorHAnsi" w:hAnsiTheme="majorHAnsi" w:cstheme="majorHAnsi"/>
        </w:rPr>
        <w:t>a)</w:t>
      </w:r>
      <w:r w:rsidR="00AB123A" w:rsidRPr="00515CF0">
        <w:rPr>
          <w:rFonts w:asciiTheme="majorHAnsi" w:hAnsiTheme="majorHAnsi" w:cstheme="majorHAnsi"/>
        </w:rPr>
        <w:t xml:space="preserve"> public policies, including the content of previously and newly adopted public policies, (</w:t>
      </w:r>
      <w:r w:rsidR="00BD3D4B" w:rsidRPr="00515CF0">
        <w:rPr>
          <w:rFonts w:asciiTheme="majorHAnsi" w:hAnsiTheme="majorHAnsi" w:cstheme="majorHAnsi"/>
        </w:rPr>
        <w:t>b</w:t>
      </w:r>
      <w:r w:rsidR="00AB123A" w:rsidRPr="00515CF0">
        <w:rPr>
          <w:rFonts w:asciiTheme="majorHAnsi" w:hAnsiTheme="majorHAnsi" w:cstheme="majorHAnsi"/>
        </w:rPr>
        <w:t xml:space="preserve">) the interactions of </w:t>
      </w:r>
      <w:r w:rsidR="001C3D52" w:rsidRPr="00515CF0">
        <w:rPr>
          <w:rFonts w:asciiTheme="majorHAnsi" w:hAnsiTheme="majorHAnsi" w:cstheme="majorHAnsi"/>
        </w:rPr>
        <w:t xml:space="preserve">actors: </w:t>
      </w:r>
      <w:r w:rsidR="00AB123A" w:rsidRPr="00515CF0">
        <w:rPr>
          <w:rFonts w:asciiTheme="majorHAnsi" w:hAnsiTheme="majorHAnsi" w:cstheme="majorHAnsi"/>
        </w:rPr>
        <w:t>individuals, groups, coalitions, and networks, and (</w:t>
      </w:r>
      <w:r w:rsidR="00BD3D4B" w:rsidRPr="00515CF0">
        <w:rPr>
          <w:rFonts w:asciiTheme="majorHAnsi" w:hAnsiTheme="majorHAnsi" w:cstheme="majorHAnsi"/>
        </w:rPr>
        <w:t>c</w:t>
      </w:r>
      <w:r w:rsidR="00AB123A" w:rsidRPr="00515CF0">
        <w:rPr>
          <w:rFonts w:asciiTheme="majorHAnsi" w:hAnsiTheme="majorHAnsi" w:cstheme="majorHAnsi"/>
        </w:rPr>
        <w:t>) contextual conditions including local</w:t>
      </w:r>
      <w:r w:rsidR="006655EF" w:rsidRPr="00515CF0">
        <w:rPr>
          <w:rFonts w:asciiTheme="majorHAnsi" w:hAnsiTheme="majorHAnsi" w:cstheme="majorHAnsi"/>
        </w:rPr>
        <w:t xml:space="preserve"> (national)</w:t>
      </w:r>
      <w:r w:rsidR="00AB123A" w:rsidRPr="00515CF0">
        <w:rPr>
          <w:rFonts w:asciiTheme="majorHAnsi" w:hAnsiTheme="majorHAnsi" w:cstheme="majorHAnsi"/>
        </w:rPr>
        <w:t xml:space="preserve"> interactions and global-level decisions.</w:t>
      </w:r>
      <w:r w:rsidR="00911C49" w:rsidRPr="00515CF0">
        <w:rPr>
          <w:rFonts w:asciiTheme="majorHAnsi" w:hAnsiTheme="majorHAnsi" w:cstheme="majorHAnsi"/>
        </w:rPr>
        <w:t xml:space="preserve"> </w:t>
      </w:r>
      <w:r w:rsidR="00BD3D4B" w:rsidRPr="00515CF0">
        <w:rPr>
          <w:rFonts w:asciiTheme="majorHAnsi" w:hAnsiTheme="majorHAnsi" w:cstheme="majorHAnsi"/>
        </w:rPr>
        <w:t>F</w:t>
      </w:r>
      <w:r w:rsidR="00911C49" w:rsidRPr="00515CF0">
        <w:rPr>
          <w:rFonts w:asciiTheme="majorHAnsi" w:hAnsiTheme="majorHAnsi" w:cstheme="majorHAnsi"/>
        </w:rPr>
        <w:t>or the COVID-19 response analysis</w:t>
      </w:r>
      <w:r w:rsidR="00B572C9">
        <w:rPr>
          <w:rFonts w:asciiTheme="majorHAnsi" w:hAnsiTheme="majorHAnsi" w:cstheme="majorHAnsi"/>
        </w:rPr>
        <w:t>,</w:t>
      </w:r>
      <w:r w:rsidR="00980681" w:rsidRPr="00515CF0">
        <w:rPr>
          <w:rFonts w:asciiTheme="majorHAnsi" w:hAnsiTheme="majorHAnsi" w:cstheme="majorHAnsi"/>
        </w:rPr>
        <w:t xml:space="preserve"> we will use </w:t>
      </w:r>
      <w:r w:rsidR="00B572C9">
        <w:rPr>
          <w:rFonts w:asciiTheme="majorHAnsi" w:hAnsiTheme="majorHAnsi" w:cstheme="majorHAnsi"/>
        </w:rPr>
        <w:t xml:space="preserve">a </w:t>
      </w:r>
      <w:r w:rsidR="00980681" w:rsidRPr="00515CF0">
        <w:rPr>
          <w:rFonts w:asciiTheme="majorHAnsi" w:hAnsiTheme="majorHAnsi" w:cstheme="majorHAnsi"/>
        </w:rPr>
        <w:t xml:space="preserve">policy analysis framework. </w:t>
      </w:r>
      <w:r w:rsidR="00911C49" w:rsidRPr="00515CF0">
        <w:rPr>
          <w:rFonts w:asciiTheme="majorHAnsi" w:hAnsiTheme="majorHAnsi" w:cstheme="majorHAnsi"/>
        </w:rPr>
        <w:t xml:space="preserve">There are a number of </w:t>
      </w:r>
      <w:r w:rsidR="00CE4BDB" w:rsidRPr="00515CF0">
        <w:rPr>
          <w:rFonts w:asciiTheme="majorHAnsi" w:hAnsiTheme="majorHAnsi" w:cstheme="majorHAnsi"/>
        </w:rPr>
        <w:t xml:space="preserve">general </w:t>
      </w:r>
      <w:r w:rsidR="00911C49" w:rsidRPr="00515CF0">
        <w:rPr>
          <w:rFonts w:asciiTheme="majorHAnsi" w:hAnsiTheme="majorHAnsi" w:cstheme="majorHAnsi"/>
        </w:rPr>
        <w:t>policy</w:t>
      </w:r>
      <w:r w:rsidR="00CE4BDB" w:rsidRPr="00515CF0">
        <w:rPr>
          <w:rFonts w:asciiTheme="majorHAnsi" w:hAnsiTheme="majorHAnsi" w:cstheme="majorHAnsi"/>
        </w:rPr>
        <w:t xml:space="preserve"> and health policy</w:t>
      </w:r>
      <w:r w:rsidR="00911C49" w:rsidRPr="00515CF0">
        <w:rPr>
          <w:rFonts w:asciiTheme="majorHAnsi" w:hAnsiTheme="majorHAnsi" w:cstheme="majorHAnsi"/>
        </w:rPr>
        <w:t xml:space="preserve"> analysis frameworks, theories and models available in the literature</w:t>
      </w:r>
      <w:r w:rsidR="00CE4BDB" w:rsidRPr="00515CF0">
        <w:rPr>
          <w:rFonts w:asciiTheme="majorHAnsi" w:hAnsiTheme="majorHAnsi" w:cstheme="majorHAnsi"/>
        </w:rPr>
        <w:t xml:space="preserve"> </w:t>
      </w:r>
      <w:sdt>
        <w:sdtPr>
          <w:rPr>
            <w:rFonts w:asciiTheme="majorHAnsi" w:hAnsiTheme="majorHAnsi" w:cstheme="majorHAnsi"/>
          </w:rPr>
          <w:id w:val="-871609329"/>
          <w:citation/>
        </w:sdtPr>
        <w:sdtEndPr/>
        <w:sdtContent>
          <w:r w:rsidR="00364FFE" w:rsidRPr="00515CF0">
            <w:rPr>
              <w:rFonts w:asciiTheme="majorHAnsi" w:hAnsiTheme="majorHAnsi" w:cstheme="majorHAnsi"/>
            </w:rPr>
            <w:fldChar w:fldCharType="begin"/>
          </w:r>
          <w:r w:rsidR="00364FFE" w:rsidRPr="00515CF0">
            <w:rPr>
              <w:rFonts w:asciiTheme="majorHAnsi" w:hAnsiTheme="majorHAnsi" w:cstheme="majorHAnsi"/>
            </w:rPr>
            <w:instrText xml:space="preserve"> CITATION Wal08 \l 1033 </w:instrText>
          </w:r>
          <w:r w:rsidR="00364FFE" w:rsidRPr="00515CF0">
            <w:rPr>
              <w:rFonts w:asciiTheme="majorHAnsi" w:hAnsiTheme="majorHAnsi" w:cstheme="majorHAnsi"/>
            </w:rPr>
            <w:fldChar w:fldCharType="separate"/>
          </w:r>
          <w:r w:rsidR="0062778D" w:rsidRPr="00515CF0">
            <w:rPr>
              <w:rFonts w:asciiTheme="majorHAnsi" w:hAnsiTheme="majorHAnsi" w:cstheme="majorHAnsi"/>
              <w:noProof/>
            </w:rPr>
            <w:t>[17]</w:t>
          </w:r>
          <w:r w:rsidR="00364FFE" w:rsidRPr="00515CF0">
            <w:rPr>
              <w:rFonts w:asciiTheme="majorHAnsi" w:hAnsiTheme="majorHAnsi" w:cstheme="majorHAnsi"/>
            </w:rPr>
            <w:fldChar w:fldCharType="end"/>
          </w:r>
        </w:sdtContent>
      </w:sdt>
      <w:sdt>
        <w:sdtPr>
          <w:rPr>
            <w:rFonts w:asciiTheme="majorHAnsi" w:hAnsiTheme="majorHAnsi" w:cstheme="majorHAnsi"/>
          </w:rPr>
          <w:id w:val="-1418404290"/>
          <w:citation/>
        </w:sdtPr>
        <w:sdtEndPr/>
        <w:sdtContent>
          <w:r w:rsidR="0062778D" w:rsidRPr="00515CF0">
            <w:rPr>
              <w:rFonts w:asciiTheme="majorHAnsi" w:hAnsiTheme="majorHAnsi" w:cstheme="majorHAnsi"/>
            </w:rPr>
            <w:fldChar w:fldCharType="begin"/>
          </w:r>
          <w:r w:rsidR="0062778D" w:rsidRPr="00515CF0">
            <w:rPr>
              <w:rFonts w:asciiTheme="majorHAnsi" w:hAnsiTheme="majorHAnsi" w:cstheme="majorHAnsi"/>
            </w:rPr>
            <w:instrText xml:space="preserve"> CITATION Bus05 \l 1033 </w:instrText>
          </w:r>
          <w:r w:rsidR="0062778D" w:rsidRPr="00515CF0">
            <w:rPr>
              <w:rFonts w:asciiTheme="majorHAnsi" w:hAnsiTheme="majorHAnsi" w:cstheme="majorHAnsi"/>
            </w:rPr>
            <w:fldChar w:fldCharType="separate"/>
          </w:r>
          <w:r w:rsidR="0062778D" w:rsidRPr="00515CF0">
            <w:rPr>
              <w:rFonts w:asciiTheme="majorHAnsi" w:hAnsiTheme="majorHAnsi" w:cstheme="majorHAnsi"/>
              <w:noProof/>
            </w:rPr>
            <w:t xml:space="preserve"> [21]</w:t>
          </w:r>
          <w:r w:rsidR="0062778D" w:rsidRPr="00515CF0">
            <w:rPr>
              <w:rFonts w:asciiTheme="majorHAnsi" w:hAnsiTheme="majorHAnsi" w:cstheme="majorHAnsi"/>
            </w:rPr>
            <w:fldChar w:fldCharType="end"/>
          </w:r>
        </w:sdtContent>
      </w:sdt>
      <w:r w:rsidR="00911C49" w:rsidRPr="00515CF0">
        <w:rPr>
          <w:rFonts w:asciiTheme="majorHAnsi" w:hAnsiTheme="majorHAnsi" w:cstheme="majorHAnsi"/>
        </w:rPr>
        <w:t>. Among these, the “health policy triangle” proposed by Walt and Gilson</w:t>
      </w:r>
      <w:r w:rsidR="00A528FA" w:rsidRPr="00515CF0">
        <w:rPr>
          <w:rFonts w:asciiTheme="majorHAnsi" w:hAnsiTheme="majorHAnsi" w:cstheme="majorHAnsi"/>
        </w:rPr>
        <w:t xml:space="preserve"> </w:t>
      </w:r>
      <w:sdt>
        <w:sdtPr>
          <w:rPr>
            <w:rFonts w:asciiTheme="majorHAnsi" w:hAnsiTheme="majorHAnsi" w:cstheme="majorHAnsi"/>
          </w:rPr>
          <w:id w:val="-1482922791"/>
          <w:citation/>
        </w:sdtPr>
        <w:sdtEndPr/>
        <w:sdtContent>
          <w:r w:rsidR="00591F40" w:rsidRPr="00515CF0">
            <w:rPr>
              <w:rFonts w:asciiTheme="majorHAnsi" w:hAnsiTheme="majorHAnsi" w:cstheme="majorHAnsi"/>
            </w:rPr>
            <w:fldChar w:fldCharType="begin"/>
          </w:r>
          <w:r w:rsidR="00591F40" w:rsidRPr="00515CF0">
            <w:rPr>
              <w:rFonts w:asciiTheme="majorHAnsi" w:hAnsiTheme="majorHAnsi" w:cstheme="majorHAnsi"/>
            </w:rPr>
            <w:instrText xml:space="preserve"> CITATION Wal94 \l 1033 </w:instrText>
          </w:r>
          <w:r w:rsidR="00591F40" w:rsidRPr="00515CF0">
            <w:rPr>
              <w:rFonts w:asciiTheme="majorHAnsi" w:hAnsiTheme="majorHAnsi" w:cstheme="majorHAnsi"/>
            </w:rPr>
            <w:fldChar w:fldCharType="separate"/>
          </w:r>
          <w:r w:rsidR="00591F40" w:rsidRPr="00515CF0">
            <w:rPr>
              <w:rFonts w:asciiTheme="majorHAnsi" w:hAnsiTheme="majorHAnsi" w:cstheme="majorHAnsi"/>
              <w:noProof/>
            </w:rPr>
            <w:t>[22]</w:t>
          </w:r>
          <w:r w:rsidR="00591F40" w:rsidRPr="00515CF0">
            <w:rPr>
              <w:rFonts w:asciiTheme="majorHAnsi" w:hAnsiTheme="majorHAnsi" w:cstheme="majorHAnsi"/>
            </w:rPr>
            <w:fldChar w:fldCharType="end"/>
          </w:r>
        </w:sdtContent>
      </w:sdt>
      <w:r w:rsidR="00A528FA" w:rsidRPr="00515CF0">
        <w:rPr>
          <w:rFonts w:asciiTheme="majorHAnsi" w:hAnsiTheme="majorHAnsi" w:cstheme="majorHAnsi"/>
        </w:rPr>
        <w:t xml:space="preserve"> </w:t>
      </w:r>
      <w:r w:rsidR="00911C49" w:rsidRPr="00515CF0">
        <w:rPr>
          <w:rFonts w:asciiTheme="majorHAnsi" w:hAnsiTheme="majorHAnsi" w:cstheme="majorHAnsi"/>
        </w:rPr>
        <w:t xml:space="preserve">which comprises </w:t>
      </w:r>
      <w:r w:rsidR="00980681" w:rsidRPr="00515CF0">
        <w:rPr>
          <w:rFonts w:asciiTheme="majorHAnsi" w:hAnsiTheme="majorHAnsi" w:cstheme="majorHAnsi"/>
        </w:rPr>
        <w:t xml:space="preserve">from </w:t>
      </w:r>
      <w:r w:rsidR="00911C49" w:rsidRPr="00515CF0">
        <w:rPr>
          <w:rFonts w:asciiTheme="majorHAnsi" w:hAnsiTheme="majorHAnsi" w:cstheme="majorHAnsi"/>
        </w:rPr>
        <w:t xml:space="preserve">four components –policy process, content, context and actors –is particularly relevant to this case study. </w:t>
      </w:r>
    </w:p>
    <w:p w14:paraId="5D698D5F" w14:textId="7D15C16C" w:rsidR="002555D9" w:rsidRPr="00515CF0" w:rsidRDefault="00B77EED" w:rsidP="00AB123A">
      <w:pPr>
        <w:autoSpaceDE w:val="0"/>
        <w:autoSpaceDN w:val="0"/>
        <w:adjustRightInd w:val="0"/>
        <w:jc w:val="both"/>
        <w:rPr>
          <w:rFonts w:asciiTheme="majorHAnsi" w:hAnsiTheme="majorHAnsi" w:cstheme="majorHAnsi"/>
        </w:rPr>
      </w:pPr>
      <w:r w:rsidRPr="00515CF0">
        <w:rPr>
          <w:rFonts w:asciiTheme="majorHAnsi" w:hAnsiTheme="majorHAnsi" w:cstheme="majorHAnsi"/>
          <w:bCs/>
        </w:rPr>
        <w:t xml:space="preserve">Among the four components, we will put the </w:t>
      </w:r>
      <w:r w:rsidRPr="00515CF0">
        <w:rPr>
          <w:rFonts w:asciiTheme="majorHAnsi" w:hAnsiTheme="majorHAnsi" w:cstheme="majorHAnsi"/>
          <w:b/>
          <w:bCs/>
        </w:rPr>
        <w:t>COVID-19 policy response process</w:t>
      </w:r>
      <w:r w:rsidRPr="00515CF0">
        <w:rPr>
          <w:rFonts w:asciiTheme="majorHAnsi" w:hAnsiTheme="majorHAnsi" w:cstheme="majorHAnsi"/>
          <w:bCs/>
        </w:rPr>
        <w:t xml:space="preserve"> at the heart of our descriptive work. On a timeline, we will report the multi-dimensional evolution of the </w:t>
      </w:r>
      <w:r w:rsidRPr="00515CF0">
        <w:rPr>
          <w:rFonts w:asciiTheme="majorHAnsi" w:hAnsiTheme="majorHAnsi" w:cstheme="majorHAnsi"/>
          <w:b/>
          <w:bCs/>
        </w:rPr>
        <w:t xml:space="preserve">content, </w:t>
      </w:r>
      <w:r w:rsidRPr="00515CF0">
        <w:rPr>
          <w:rFonts w:asciiTheme="majorHAnsi" w:hAnsiTheme="majorHAnsi" w:cstheme="majorHAnsi"/>
          <w:bCs/>
        </w:rPr>
        <w:t xml:space="preserve">the related actions taken by the </w:t>
      </w:r>
      <w:r w:rsidR="00271452" w:rsidRPr="00515CF0">
        <w:rPr>
          <w:rFonts w:asciiTheme="majorHAnsi" w:hAnsiTheme="majorHAnsi" w:cstheme="majorHAnsi"/>
          <w:bCs/>
        </w:rPr>
        <w:t xml:space="preserve">individual and organizational </w:t>
      </w:r>
      <w:r w:rsidRPr="00515CF0">
        <w:rPr>
          <w:rFonts w:asciiTheme="majorHAnsi" w:hAnsiTheme="majorHAnsi" w:cstheme="majorHAnsi"/>
          <w:b/>
          <w:bCs/>
        </w:rPr>
        <w:t>actors</w:t>
      </w:r>
      <w:r w:rsidRPr="00515CF0">
        <w:rPr>
          <w:rFonts w:asciiTheme="majorHAnsi" w:hAnsiTheme="majorHAnsi" w:cstheme="majorHAnsi"/>
          <w:bCs/>
        </w:rPr>
        <w:t xml:space="preserve"> and the phenomena at</w:t>
      </w:r>
      <w:r w:rsidR="00271452" w:rsidRPr="00515CF0">
        <w:rPr>
          <w:rFonts w:asciiTheme="majorHAnsi" w:hAnsiTheme="majorHAnsi" w:cstheme="majorHAnsi"/>
          <w:bCs/>
        </w:rPr>
        <w:t xml:space="preserve"> the global and national</w:t>
      </w:r>
      <w:r w:rsidRPr="00515CF0">
        <w:rPr>
          <w:rFonts w:asciiTheme="majorHAnsi" w:hAnsiTheme="majorHAnsi" w:cstheme="majorHAnsi"/>
          <w:bCs/>
        </w:rPr>
        <w:t xml:space="preserve"> </w:t>
      </w:r>
      <w:r w:rsidRPr="00515CF0">
        <w:rPr>
          <w:rFonts w:asciiTheme="majorHAnsi" w:hAnsiTheme="majorHAnsi" w:cstheme="majorHAnsi"/>
          <w:b/>
          <w:bCs/>
        </w:rPr>
        <w:t>context</w:t>
      </w:r>
      <w:r w:rsidRPr="00515CF0">
        <w:rPr>
          <w:rFonts w:asciiTheme="majorHAnsi" w:hAnsiTheme="majorHAnsi" w:cstheme="majorHAnsi"/>
          <w:bCs/>
        </w:rPr>
        <w:t xml:space="preserve"> level</w:t>
      </w:r>
      <w:r w:rsidR="00EB1913">
        <w:rPr>
          <w:rFonts w:asciiTheme="majorHAnsi" w:hAnsiTheme="majorHAnsi" w:cstheme="majorHAnsi"/>
          <w:bCs/>
        </w:rPr>
        <w:t>,</w:t>
      </w:r>
      <w:r w:rsidRPr="00515CF0">
        <w:rPr>
          <w:rFonts w:asciiTheme="majorHAnsi" w:hAnsiTheme="majorHAnsi" w:cstheme="majorHAnsi"/>
          <w:bCs/>
        </w:rPr>
        <w:t xml:space="preserve"> which affected the process. Through this use of the Walt &amp; Gilson framework, </w:t>
      </w:r>
      <w:r w:rsidRPr="00515CF0">
        <w:rPr>
          <w:rFonts w:asciiTheme="majorHAnsi" w:hAnsiTheme="majorHAnsi" w:cstheme="majorHAnsi"/>
          <w:bCs/>
        </w:rPr>
        <w:lastRenderedPageBreak/>
        <w:t xml:space="preserve">we will be able to report </w:t>
      </w:r>
      <w:r w:rsidRPr="00515CF0">
        <w:rPr>
          <w:rFonts w:asciiTheme="majorHAnsi" w:hAnsiTheme="majorHAnsi" w:cstheme="majorHAnsi"/>
        </w:rPr>
        <w:t xml:space="preserve">how </w:t>
      </w:r>
      <w:r w:rsidR="001C070A" w:rsidRPr="00515CF0">
        <w:rPr>
          <w:rFonts w:asciiTheme="majorHAnsi" w:hAnsiTheme="majorHAnsi" w:cstheme="majorHAnsi"/>
        </w:rPr>
        <w:t xml:space="preserve">the COVID-19 response </w:t>
      </w:r>
      <w:r w:rsidRPr="00515CF0">
        <w:rPr>
          <w:rFonts w:asciiTheme="majorHAnsi" w:hAnsiTheme="majorHAnsi" w:cstheme="majorHAnsi"/>
        </w:rPr>
        <w:t xml:space="preserve">has </w:t>
      </w:r>
      <w:r w:rsidR="001C070A" w:rsidRPr="00515CF0">
        <w:rPr>
          <w:rFonts w:asciiTheme="majorHAnsi" w:hAnsiTheme="majorHAnsi" w:cstheme="majorHAnsi"/>
        </w:rPr>
        <w:t xml:space="preserve">developed </w:t>
      </w:r>
      <w:r w:rsidRPr="00515CF0">
        <w:rPr>
          <w:rFonts w:asciiTheme="majorHAnsi" w:hAnsiTheme="majorHAnsi" w:cstheme="majorHAnsi"/>
        </w:rPr>
        <w:t xml:space="preserve">and </w:t>
      </w:r>
      <w:r w:rsidR="00EB1913">
        <w:rPr>
          <w:rFonts w:asciiTheme="majorHAnsi" w:hAnsiTheme="majorHAnsi" w:cstheme="majorHAnsi"/>
        </w:rPr>
        <w:t xml:space="preserve">to </w:t>
      </w:r>
      <w:r w:rsidRPr="00515CF0">
        <w:rPr>
          <w:rFonts w:asciiTheme="majorHAnsi" w:hAnsiTheme="majorHAnsi" w:cstheme="majorHAnsi"/>
        </w:rPr>
        <w:t xml:space="preserve">investigate why the </w:t>
      </w:r>
      <w:r w:rsidR="00A41DCB" w:rsidRPr="00515CF0">
        <w:rPr>
          <w:rFonts w:asciiTheme="majorHAnsi" w:hAnsiTheme="majorHAnsi" w:cstheme="majorHAnsi"/>
        </w:rPr>
        <w:t>Ministry</w:t>
      </w:r>
      <w:r w:rsidRPr="00515CF0">
        <w:rPr>
          <w:rFonts w:asciiTheme="majorHAnsi" w:hAnsiTheme="majorHAnsi" w:cstheme="majorHAnsi"/>
        </w:rPr>
        <w:t xml:space="preserve"> was (or was not) successful </w:t>
      </w:r>
      <w:r w:rsidR="00320B4B" w:rsidRPr="00515CF0">
        <w:rPr>
          <w:rFonts w:asciiTheme="majorHAnsi" w:hAnsiTheme="majorHAnsi" w:cstheme="majorHAnsi"/>
        </w:rPr>
        <w:t xml:space="preserve">in influencing </w:t>
      </w:r>
      <w:r w:rsidR="00340C18" w:rsidRPr="00515CF0">
        <w:rPr>
          <w:rFonts w:asciiTheme="majorHAnsi" w:hAnsiTheme="majorHAnsi" w:cstheme="majorHAnsi"/>
        </w:rPr>
        <w:t xml:space="preserve">(enabling or hindering) </w:t>
      </w:r>
      <w:r w:rsidR="00320B4B" w:rsidRPr="00515CF0">
        <w:rPr>
          <w:rFonts w:asciiTheme="majorHAnsi" w:hAnsiTheme="majorHAnsi" w:cstheme="majorHAnsi"/>
        </w:rPr>
        <w:t>the response process</w:t>
      </w:r>
      <w:r w:rsidRPr="00515CF0">
        <w:rPr>
          <w:rFonts w:asciiTheme="majorHAnsi" w:hAnsiTheme="majorHAnsi" w:cstheme="majorHAnsi"/>
        </w:rPr>
        <w:t>.</w:t>
      </w:r>
    </w:p>
    <w:p w14:paraId="106D012E" w14:textId="77777777" w:rsidR="00E84123" w:rsidRPr="00515CF0" w:rsidRDefault="00E84123" w:rsidP="00F16257">
      <w:pPr>
        <w:spacing w:before="240" w:after="240"/>
        <w:jc w:val="both"/>
        <w:rPr>
          <w:rFonts w:asciiTheme="majorHAnsi" w:hAnsiTheme="majorHAnsi" w:cstheme="majorHAnsi"/>
          <w:b/>
          <w:bCs/>
          <w:sz w:val="26"/>
          <w:szCs w:val="28"/>
        </w:rPr>
      </w:pPr>
      <w:r w:rsidRPr="00515CF0">
        <w:rPr>
          <w:rFonts w:asciiTheme="majorHAnsi" w:hAnsiTheme="majorHAnsi" w:cstheme="majorHAnsi"/>
          <w:b/>
          <w:bCs/>
          <w:sz w:val="26"/>
          <w:szCs w:val="28"/>
        </w:rPr>
        <w:t>Descriptive work</w:t>
      </w:r>
    </w:p>
    <w:p w14:paraId="7ABE4575" w14:textId="5E91560E" w:rsidR="00E84123" w:rsidRPr="00515CF0" w:rsidRDefault="008B1138" w:rsidP="00F16257">
      <w:pPr>
        <w:autoSpaceDE w:val="0"/>
        <w:autoSpaceDN w:val="0"/>
        <w:adjustRightInd w:val="0"/>
        <w:jc w:val="both"/>
        <w:rPr>
          <w:rFonts w:asciiTheme="majorHAnsi" w:hAnsiTheme="majorHAnsi" w:cstheme="majorHAnsi"/>
          <w:b/>
        </w:rPr>
      </w:pPr>
      <w:r w:rsidRPr="00515CF0">
        <w:rPr>
          <w:rFonts w:asciiTheme="majorHAnsi" w:hAnsiTheme="majorHAnsi" w:cstheme="majorHAnsi"/>
          <w:b/>
        </w:rPr>
        <w:t>The timeline of the COVID-19 response in Georgia</w:t>
      </w:r>
    </w:p>
    <w:p w14:paraId="24D09D01" w14:textId="1618E5B4" w:rsidR="00E84123" w:rsidRPr="00515CF0" w:rsidRDefault="00E84123" w:rsidP="00DB716B">
      <w:pPr>
        <w:autoSpaceDE w:val="0"/>
        <w:autoSpaceDN w:val="0"/>
        <w:adjustRightInd w:val="0"/>
        <w:jc w:val="both"/>
        <w:rPr>
          <w:rFonts w:asciiTheme="majorHAnsi" w:hAnsiTheme="majorHAnsi" w:cstheme="majorHAnsi"/>
        </w:rPr>
      </w:pPr>
      <w:r w:rsidRPr="00515CF0">
        <w:rPr>
          <w:rFonts w:asciiTheme="majorHAnsi" w:hAnsiTheme="majorHAnsi" w:cstheme="majorHAnsi"/>
        </w:rPr>
        <w:t xml:space="preserve">As mentioned above, first, we will examine the </w:t>
      </w:r>
      <w:r w:rsidR="00697D7D" w:rsidRPr="00515CF0">
        <w:rPr>
          <w:rFonts w:asciiTheme="majorHAnsi" w:hAnsiTheme="majorHAnsi" w:cstheme="majorHAnsi"/>
        </w:rPr>
        <w:t xml:space="preserve">planning and </w:t>
      </w:r>
      <w:r w:rsidR="001766B2" w:rsidRPr="00515CF0">
        <w:rPr>
          <w:rFonts w:asciiTheme="majorHAnsi" w:hAnsiTheme="majorHAnsi" w:cstheme="majorHAnsi"/>
        </w:rPr>
        <w:t>implementation</w:t>
      </w:r>
      <w:r w:rsidR="00697D7D" w:rsidRPr="00515CF0">
        <w:rPr>
          <w:rFonts w:asciiTheme="majorHAnsi" w:hAnsiTheme="majorHAnsi" w:cstheme="majorHAnsi"/>
        </w:rPr>
        <w:t xml:space="preserve"> </w:t>
      </w:r>
      <w:r w:rsidR="008B1138" w:rsidRPr="00515CF0">
        <w:rPr>
          <w:rFonts w:asciiTheme="majorHAnsi" w:hAnsiTheme="majorHAnsi" w:cstheme="majorHAnsi"/>
        </w:rPr>
        <w:t>of the COVID-19 pandemic response in Georgia</w:t>
      </w:r>
      <w:r w:rsidRPr="00515CF0">
        <w:rPr>
          <w:rFonts w:asciiTheme="majorHAnsi" w:hAnsiTheme="majorHAnsi" w:cstheme="majorHAnsi"/>
        </w:rPr>
        <w:t xml:space="preserve"> - i.e. </w:t>
      </w:r>
      <w:r w:rsidRPr="00515CF0">
        <w:rPr>
          <w:rFonts w:asciiTheme="majorHAnsi" w:hAnsiTheme="majorHAnsi" w:cstheme="majorHAnsi"/>
          <w:b/>
          <w:bCs/>
        </w:rPr>
        <w:t>the policy process of focus,</w:t>
      </w:r>
      <w:r w:rsidRPr="00515CF0">
        <w:rPr>
          <w:rFonts w:asciiTheme="majorHAnsi" w:hAnsiTheme="majorHAnsi" w:cstheme="majorHAnsi"/>
        </w:rPr>
        <w:t xml:space="preserve"> from its initiation </w:t>
      </w:r>
      <w:r w:rsidR="000A6E91" w:rsidRPr="00515CF0">
        <w:rPr>
          <w:rFonts w:asciiTheme="majorHAnsi" w:hAnsiTheme="majorHAnsi" w:cstheme="majorHAnsi"/>
        </w:rPr>
        <w:t>on 6 January</w:t>
      </w:r>
      <w:r w:rsidRPr="00515CF0">
        <w:rPr>
          <w:rFonts w:asciiTheme="majorHAnsi" w:hAnsiTheme="majorHAnsi" w:cstheme="majorHAnsi"/>
        </w:rPr>
        <w:t xml:space="preserve"> </w:t>
      </w:r>
      <w:r w:rsidR="001F2BB5" w:rsidRPr="00515CF0">
        <w:rPr>
          <w:rFonts w:asciiTheme="majorHAnsi" w:hAnsiTheme="majorHAnsi" w:cstheme="majorHAnsi"/>
        </w:rPr>
        <w:t>20</w:t>
      </w:r>
      <w:r w:rsidR="000A6E91" w:rsidRPr="00515CF0">
        <w:rPr>
          <w:rFonts w:asciiTheme="majorHAnsi" w:hAnsiTheme="majorHAnsi" w:cstheme="majorHAnsi"/>
        </w:rPr>
        <w:t>20</w:t>
      </w:r>
      <w:r w:rsidR="00242C41" w:rsidRPr="00515CF0">
        <w:rPr>
          <w:rFonts w:asciiTheme="majorHAnsi" w:hAnsiTheme="majorHAnsi" w:cstheme="majorHAnsi"/>
        </w:rPr>
        <w:t xml:space="preserve"> </w:t>
      </w:r>
      <w:r w:rsidRPr="00515CF0">
        <w:rPr>
          <w:rFonts w:asciiTheme="majorHAnsi" w:hAnsiTheme="majorHAnsi" w:cstheme="majorHAnsi"/>
        </w:rPr>
        <w:t xml:space="preserve">to </w:t>
      </w:r>
      <w:r w:rsidR="001F2BB5" w:rsidRPr="00515CF0">
        <w:rPr>
          <w:rFonts w:asciiTheme="majorHAnsi" w:hAnsiTheme="majorHAnsi" w:cstheme="majorHAnsi"/>
        </w:rPr>
        <w:t xml:space="preserve">its current status </w:t>
      </w:r>
      <w:r w:rsidR="000A6E91" w:rsidRPr="00515CF0">
        <w:rPr>
          <w:rFonts w:asciiTheme="majorHAnsi" w:hAnsiTheme="majorHAnsi" w:cstheme="majorHAnsi"/>
        </w:rPr>
        <w:t>by 1 September</w:t>
      </w:r>
      <w:r w:rsidR="001F2BB5" w:rsidRPr="00515CF0">
        <w:rPr>
          <w:rFonts w:asciiTheme="majorHAnsi" w:hAnsiTheme="majorHAnsi" w:cstheme="majorHAnsi"/>
        </w:rPr>
        <w:t xml:space="preserve"> 20</w:t>
      </w:r>
      <w:r w:rsidR="000A6E91" w:rsidRPr="00515CF0">
        <w:rPr>
          <w:rFonts w:asciiTheme="majorHAnsi" w:hAnsiTheme="majorHAnsi" w:cstheme="majorHAnsi"/>
        </w:rPr>
        <w:t>20</w:t>
      </w:r>
      <w:r w:rsidRPr="00515CF0">
        <w:rPr>
          <w:rFonts w:asciiTheme="majorHAnsi" w:hAnsiTheme="majorHAnsi" w:cstheme="majorHAnsi"/>
        </w:rPr>
        <w:t>, as a descriptive part of our study. The description of</w:t>
      </w:r>
      <w:r w:rsidR="000A6E91" w:rsidRPr="00515CF0">
        <w:rPr>
          <w:rFonts w:asciiTheme="majorHAnsi" w:hAnsiTheme="majorHAnsi" w:cstheme="majorHAnsi"/>
        </w:rPr>
        <w:t xml:space="preserve"> the pandemic response</w:t>
      </w:r>
      <w:r w:rsidRPr="00515CF0">
        <w:rPr>
          <w:rFonts w:asciiTheme="majorHAnsi" w:hAnsiTheme="majorHAnsi" w:cstheme="majorHAnsi"/>
        </w:rPr>
        <w:t xml:space="preserve"> process will be the result of the combination of mainly two elements: progress on some key </w:t>
      </w:r>
      <w:r w:rsidR="00873BE0" w:rsidRPr="00515CF0">
        <w:rPr>
          <w:rFonts w:asciiTheme="majorHAnsi" w:hAnsiTheme="majorHAnsi" w:cstheme="majorHAnsi"/>
        </w:rPr>
        <w:t>decisions (</w:t>
      </w:r>
      <w:r w:rsidR="001C686E" w:rsidRPr="00515CF0">
        <w:rPr>
          <w:rFonts w:asciiTheme="majorHAnsi" w:hAnsiTheme="majorHAnsi" w:cstheme="majorHAnsi"/>
        </w:rPr>
        <w:t xml:space="preserve">for example: </w:t>
      </w:r>
      <w:r w:rsidR="000C76A8" w:rsidRPr="00515CF0">
        <w:rPr>
          <w:rFonts w:asciiTheme="majorHAnsi" w:hAnsiTheme="majorHAnsi" w:cstheme="majorHAnsi"/>
        </w:rPr>
        <w:t xml:space="preserve">introducing the travel restrictions, </w:t>
      </w:r>
      <w:r w:rsidR="001C686E" w:rsidRPr="00515CF0">
        <w:rPr>
          <w:rFonts w:asciiTheme="majorHAnsi" w:hAnsiTheme="majorHAnsi" w:cstheme="majorHAnsi"/>
        </w:rPr>
        <w:t>closing</w:t>
      </w:r>
      <w:r w:rsidR="000C76A8" w:rsidRPr="00515CF0">
        <w:rPr>
          <w:rFonts w:asciiTheme="majorHAnsi" w:hAnsiTheme="majorHAnsi" w:cstheme="majorHAnsi"/>
        </w:rPr>
        <w:t xml:space="preserve"> businesses, imposing mobility restriction</w:t>
      </w:r>
      <w:r w:rsidR="001C686E" w:rsidRPr="00515CF0">
        <w:rPr>
          <w:rFonts w:asciiTheme="majorHAnsi" w:hAnsiTheme="majorHAnsi" w:cstheme="majorHAnsi"/>
        </w:rPr>
        <w:t xml:space="preserve"> measures by regions and nationwide)</w:t>
      </w:r>
      <w:r w:rsidR="00B1001B" w:rsidRPr="00515CF0">
        <w:rPr>
          <w:rFonts w:asciiTheme="majorHAnsi" w:hAnsiTheme="majorHAnsi" w:cstheme="majorHAnsi"/>
        </w:rPr>
        <w:t xml:space="preserve">, placing them within the global and national context pertaining the COVID-19 spread and </w:t>
      </w:r>
      <w:r w:rsidR="00DB716B" w:rsidRPr="00515CF0">
        <w:rPr>
          <w:rFonts w:asciiTheme="majorHAnsi" w:hAnsiTheme="majorHAnsi" w:cstheme="majorHAnsi"/>
        </w:rPr>
        <w:t>global response</w:t>
      </w:r>
      <w:r w:rsidRPr="00515CF0">
        <w:rPr>
          <w:rFonts w:asciiTheme="majorHAnsi" w:hAnsiTheme="majorHAnsi" w:cstheme="majorHAnsi"/>
        </w:rPr>
        <w:t xml:space="preserve"> and time.</w:t>
      </w:r>
      <w:r w:rsidR="00DB716B" w:rsidRPr="00515CF0">
        <w:rPr>
          <w:rFonts w:asciiTheme="majorHAnsi" w:hAnsiTheme="majorHAnsi" w:cstheme="majorHAnsi"/>
        </w:rPr>
        <w:t xml:space="preserve"> O</w:t>
      </w:r>
      <w:r w:rsidRPr="00515CF0">
        <w:rPr>
          <w:rFonts w:asciiTheme="majorHAnsi" w:hAnsiTheme="majorHAnsi" w:cstheme="majorHAnsi"/>
        </w:rPr>
        <w:t xml:space="preserve">ur key instrument will be a </w:t>
      </w:r>
      <w:r w:rsidRPr="00515CF0">
        <w:rPr>
          <w:rFonts w:asciiTheme="majorHAnsi" w:hAnsiTheme="majorHAnsi" w:cstheme="majorHAnsi"/>
          <w:b/>
        </w:rPr>
        <w:t>timeline</w:t>
      </w:r>
      <w:r w:rsidRPr="00515CF0">
        <w:rPr>
          <w:rFonts w:asciiTheme="majorHAnsi" w:hAnsiTheme="majorHAnsi" w:cstheme="majorHAnsi"/>
        </w:rPr>
        <w:t xml:space="preserve">. We will use a simple software solution (e.g. Excel) to situate key progress in the </w:t>
      </w:r>
      <w:r w:rsidR="001766B2" w:rsidRPr="00515CF0">
        <w:rPr>
          <w:rFonts w:asciiTheme="majorHAnsi" w:hAnsiTheme="majorHAnsi" w:cstheme="majorHAnsi"/>
        </w:rPr>
        <w:t xml:space="preserve">COVID-19 policy response. </w:t>
      </w:r>
    </w:p>
    <w:p w14:paraId="7223EBFA" w14:textId="77777777" w:rsidR="00E84123" w:rsidRPr="00515CF0" w:rsidRDefault="00E84123" w:rsidP="00F16257">
      <w:pPr>
        <w:spacing w:before="240" w:after="240"/>
        <w:jc w:val="both"/>
        <w:rPr>
          <w:rFonts w:asciiTheme="majorHAnsi" w:hAnsiTheme="majorHAnsi" w:cstheme="majorHAnsi"/>
          <w:b/>
          <w:bCs/>
          <w:sz w:val="26"/>
          <w:szCs w:val="28"/>
        </w:rPr>
      </w:pPr>
      <w:r w:rsidRPr="00515CF0">
        <w:rPr>
          <w:rFonts w:asciiTheme="majorHAnsi" w:hAnsiTheme="majorHAnsi" w:cstheme="majorHAnsi"/>
          <w:b/>
          <w:bCs/>
          <w:sz w:val="26"/>
          <w:szCs w:val="28"/>
        </w:rPr>
        <w:t>Analytical work</w:t>
      </w:r>
    </w:p>
    <w:p w14:paraId="7171D957" w14:textId="632705C5" w:rsidR="00E84123" w:rsidRPr="00515CF0" w:rsidRDefault="00E84123" w:rsidP="00F16257">
      <w:pPr>
        <w:spacing w:before="240" w:after="240"/>
        <w:jc w:val="both"/>
        <w:rPr>
          <w:rFonts w:asciiTheme="majorHAnsi" w:hAnsiTheme="majorHAnsi" w:cstheme="majorHAnsi"/>
        </w:rPr>
      </w:pPr>
      <w:r w:rsidRPr="00515CF0">
        <w:rPr>
          <w:rFonts w:asciiTheme="majorHAnsi" w:hAnsiTheme="majorHAnsi" w:cstheme="majorHAnsi"/>
        </w:rPr>
        <w:t>Our analysis will focus on identifying and appreciating the relationships between the four components of Walt &amp; Gilson’s framework. The timeline will be helpful to understand the sequence of phenomena and to identify factors and actions at the level of the c</w:t>
      </w:r>
      <w:r w:rsidR="001F2BB5" w:rsidRPr="00515CF0">
        <w:rPr>
          <w:rFonts w:asciiTheme="majorHAnsi" w:hAnsiTheme="majorHAnsi" w:cstheme="majorHAnsi"/>
        </w:rPr>
        <w:t>ontext, actors and content that</w:t>
      </w:r>
      <w:r w:rsidRPr="00515CF0">
        <w:rPr>
          <w:rFonts w:asciiTheme="majorHAnsi" w:hAnsiTheme="majorHAnsi" w:cstheme="majorHAnsi"/>
        </w:rPr>
        <w:t xml:space="preserve"> have enabled or hampered the </w:t>
      </w:r>
      <w:r w:rsidR="00081DF2" w:rsidRPr="00515CF0">
        <w:rPr>
          <w:rFonts w:asciiTheme="majorHAnsi" w:hAnsiTheme="majorHAnsi" w:cstheme="majorHAnsi"/>
        </w:rPr>
        <w:t>response</w:t>
      </w:r>
      <w:r w:rsidRPr="00515CF0">
        <w:rPr>
          <w:rFonts w:asciiTheme="majorHAnsi" w:hAnsiTheme="majorHAnsi" w:cstheme="majorHAnsi"/>
        </w:rPr>
        <w:t xml:space="preserve"> process. </w:t>
      </w:r>
      <w:r w:rsidR="001F2BB5" w:rsidRPr="00515CF0">
        <w:rPr>
          <w:rFonts w:asciiTheme="majorHAnsi" w:hAnsiTheme="majorHAnsi" w:cstheme="majorHAnsi"/>
        </w:rPr>
        <w:t>As noted above, o</w:t>
      </w:r>
      <w:r w:rsidRPr="00515CF0">
        <w:rPr>
          <w:rFonts w:asciiTheme="majorHAnsi" w:hAnsiTheme="majorHAnsi" w:cstheme="majorHAnsi"/>
        </w:rPr>
        <w:t>ur hypothesis is</w:t>
      </w:r>
      <w:r w:rsidRPr="00515CF0">
        <w:rPr>
          <w:rFonts w:asciiTheme="majorHAnsi" w:hAnsiTheme="majorHAnsi" w:cstheme="majorHAnsi"/>
          <w:bCs/>
        </w:rPr>
        <w:t xml:space="preserve"> that </w:t>
      </w:r>
      <w:r w:rsidR="001F6DBF" w:rsidRPr="00515CF0">
        <w:rPr>
          <w:rFonts w:asciiTheme="majorHAnsi" w:hAnsiTheme="majorHAnsi" w:cstheme="majorHAnsi"/>
          <w:bCs/>
        </w:rPr>
        <w:t>COVID-19 re</w:t>
      </w:r>
      <w:r w:rsidR="0050785A" w:rsidRPr="00515CF0">
        <w:rPr>
          <w:rFonts w:asciiTheme="majorHAnsi" w:hAnsiTheme="majorHAnsi" w:cstheme="majorHAnsi"/>
          <w:bCs/>
        </w:rPr>
        <w:t>sponse</w:t>
      </w:r>
      <w:r w:rsidRPr="00515CF0">
        <w:rPr>
          <w:rFonts w:asciiTheme="majorHAnsi" w:hAnsiTheme="majorHAnsi" w:cstheme="majorHAnsi"/>
          <w:bCs/>
        </w:rPr>
        <w:t xml:space="preserve"> is affected by the </w:t>
      </w:r>
      <w:r w:rsidR="0050785A" w:rsidRPr="00515CF0">
        <w:rPr>
          <w:rFonts w:asciiTheme="majorHAnsi" w:hAnsiTheme="majorHAnsi" w:cstheme="majorHAnsi"/>
          <w:bCs/>
        </w:rPr>
        <w:t xml:space="preserve">policy </w:t>
      </w:r>
      <w:r w:rsidRPr="00515CF0">
        <w:rPr>
          <w:rFonts w:asciiTheme="majorHAnsi" w:hAnsiTheme="majorHAnsi" w:cstheme="majorHAnsi"/>
          <w:bCs/>
        </w:rPr>
        <w:t>design features and institutional arrangements of the</w:t>
      </w:r>
      <w:r w:rsidR="0050785A" w:rsidRPr="00515CF0">
        <w:rPr>
          <w:rFonts w:asciiTheme="majorHAnsi" w:hAnsiTheme="majorHAnsi" w:cstheme="majorHAnsi"/>
          <w:bCs/>
        </w:rPr>
        <w:t xml:space="preserve"> </w:t>
      </w:r>
      <w:r w:rsidR="007E1F15" w:rsidRPr="00515CF0">
        <w:rPr>
          <w:rFonts w:asciiTheme="majorHAnsi" w:hAnsiTheme="majorHAnsi" w:cstheme="majorHAnsi"/>
          <w:bCs/>
        </w:rPr>
        <w:t>policy response</w:t>
      </w:r>
      <w:r w:rsidRPr="00515CF0">
        <w:rPr>
          <w:rFonts w:asciiTheme="majorHAnsi" w:hAnsiTheme="majorHAnsi" w:cstheme="majorHAnsi"/>
          <w:bCs/>
        </w:rPr>
        <w:t xml:space="preserve"> and the extent to which they are informed by (research-based) knowledge and evidence (the policy content), key stakeholders</w:t>
      </w:r>
      <w:r w:rsidR="00281D61" w:rsidRPr="00515CF0">
        <w:rPr>
          <w:rFonts w:asciiTheme="majorHAnsi" w:hAnsiTheme="majorHAnsi" w:cstheme="majorHAnsi"/>
          <w:bCs/>
        </w:rPr>
        <w:t>, both organizations and individuals</w:t>
      </w:r>
      <w:r w:rsidRPr="00515CF0">
        <w:rPr>
          <w:rFonts w:asciiTheme="majorHAnsi" w:hAnsiTheme="majorHAnsi" w:cstheme="majorHAnsi"/>
          <w:bCs/>
        </w:rPr>
        <w:t xml:space="preserve"> involved in the </w:t>
      </w:r>
      <w:r w:rsidR="007E1F15" w:rsidRPr="00515CF0">
        <w:rPr>
          <w:rFonts w:asciiTheme="majorHAnsi" w:hAnsiTheme="majorHAnsi" w:cstheme="majorHAnsi"/>
          <w:bCs/>
        </w:rPr>
        <w:t>pandemic response</w:t>
      </w:r>
      <w:r w:rsidRPr="00515CF0">
        <w:rPr>
          <w:rFonts w:asciiTheme="majorHAnsi" w:hAnsiTheme="majorHAnsi" w:cstheme="majorHAnsi"/>
          <w:bCs/>
        </w:rPr>
        <w:t xml:space="preserve"> process, including those involved in the </w:t>
      </w:r>
      <w:r w:rsidR="007E1F15" w:rsidRPr="00515CF0">
        <w:rPr>
          <w:rFonts w:asciiTheme="majorHAnsi" w:hAnsiTheme="majorHAnsi" w:cstheme="majorHAnsi"/>
          <w:bCs/>
        </w:rPr>
        <w:t>response planning</w:t>
      </w:r>
      <w:r w:rsidRPr="00515CF0">
        <w:rPr>
          <w:rFonts w:asciiTheme="majorHAnsi" w:hAnsiTheme="majorHAnsi" w:cstheme="majorHAnsi"/>
          <w:bCs/>
        </w:rPr>
        <w:t xml:space="preserve">, implementation and </w:t>
      </w:r>
      <w:r w:rsidR="00A35B85" w:rsidRPr="00515CF0">
        <w:rPr>
          <w:rFonts w:asciiTheme="majorHAnsi" w:hAnsiTheme="majorHAnsi" w:cstheme="majorHAnsi"/>
          <w:bCs/>
        </w:rPr>
        <w:t xml:space="preserve">monitoring and </w:t>
      </w:r>
      <w:r w:rsidRPr="00515CF0">
        <w:rPr>
          <w:rFonts w:asciiTheme="majorHAnsi" w:hAnsiTheme="majorHAnsi" w:cstheme="majorHAnsi"/>
          <w:bCs/>
        </w:rPr>
        <w:t xml:space="preserve">evaluation, and to a larger extent, those benefiting from or </w:t>
      </w:r>
      <w:r w:rsidR="00A35B85" w:rsidRPr="00515CF0">
        <w:rPr>
          <w:rFonts w:asciiTheme="majorHAnsi" w:hAnsiTheme="majorHAnsi" w:cstheme="majorHAnsi"/>
          <w:bCs/>
        </w:rPr>
        <w:t xml:space="preserve">negatively </w:t>
      </w:r>
      <w:r w:rsidRPr="00515CF0">
        <w:rPr>
          <w:rFonts w:asciiTheme="majorHAnsi" w:hAnsiTheme="majorHAnsi" w:cstheme="majorHAnsi"/>
          <w:bCs/>
        </w:rPr>
        <w:t xml:space="preserve">affected by </w:t>
      </w:r>
      <w:r w:rsidR="00A35B85" w:rsidRPr="00515CF0">
        <w:rPr>
          <w:rFonts w:asciiTheme="majorHAnsi" w:hAnsiTheme="majorHAnsi" w:cstheme="majorHAnsi"/>
          <w:bCs/>
        </w:rPr>
        <w:t>the response measures</w:t>
      </w:r>
      <w:r w:rsidRPr="00515CF0">
        <w:rPr>
          <w:rFonts w:asciiTheme="majorHAnsi" w:hAnsiTheme="majorHAnsi" w:cstheme="majorHAnsi"/>
          <w:bCs/>
        </w:rPr>
        <w:t xml:space="preserve"> (the policy actors) and the </w:t>
      </w:r>
      <w:r w:rsidR="00F261D0" w:rsidRPr="00515CF0">
        <w:rPr>
          <w:rFonts w:asciiTheme="majorHAnsi" w:hAnsiTheme="majorHAnsi" w:cstheme="majorHAnsi"/>
          <w:bCs/>
        </w:rPr>
        <w:t xml:space="preserve">global and national </w:t>
      </w:r>
      <w:r w:rsidRPr="00515CF0">
        <w:rPr>
          <w:rFonts w:asciiTheme="majorHAnsi" w:hAnsiTheme="majorHAnsi" w:cstheme="majorHAnsi"/>
          <w:bCs/>
        </w:rPr>
        <w:t xml:space="preserve">context where </w:t>
      </w:r>
      <w:r w:rsidR="00F261D0" w:rsidRPr="00515CF0">
        <w:rPr>
          <w:rFonts w:asciiTheme="majorHAnsi" w:hAnsiTheme="majorHAnsi" w:cstheme="majorHAnsi"/>
          <w:bCs/>
        </w:rPr>
        <w:t>the COVID-19 response</w:t>
      </w:r>
      <w:r w:rsidRPr="00515CF0">
        <w:rPr>
          <w:rFonts w:asciiTheme="majorHAnsi" w:hAnsiTheme="majorHAnsi" w:cstheme="majorHAnsi"/>
          <w:bCs/>
        </w:rPr>
        <w:t xml:space="preserve"> was implemented (the policy context)</w:t>
      </w:r>
      <w:r w:rsidRPr="00515CF0">
        <w:rPr>
          <w:rFonts w:asciiTheme="majorHAnsi" w:hAnsiTheme="majorHAnsi" w:cstheme="majorHAnsi"/>
        </w:rPr>
        <w:t>.</w:t>
      </w:r>
    </w:p>
    <w:p w14:paraId="37ABDA8A" w14:textId="77777777" w:rsidR="00E84123" w:rsidRPr="00515CF0" w:rsidRDefault="00E84123" w:rsidP="00F16257">
      <w:pPr>
        <w:spacing w:before="240" w:after="240"/>
        <w:jc w:val="both"/>
        <w:rPr>
          <w:rFonts w:asciiTheme="majorHAnsi" w:hAnsiTheme="majorHAnsi" w:cstheme="majorHAnsi"/>
          <w:b/>
        </w:rPr>
      </w:pPr>
      <w:r w:rsidRPr="00515CF0">
        <w:rPr>
          <w:rFonts w:asciiTheme="majorHAnsi" w:hAnsiTheme="majorHAnsi" w:cstheme="majorHAnsi"/>
          <w:b/>
        </w:rPr>
        <w:t xml:space="preserve">The policy </w:t>
      </w:r>
      <w:proofErr w:type="gramStart"/>
      <w:r w:rsidRPr="00515CF0">
        <w:rPr>
          <w:rFonts w:asciiTheme="majorHAnsi" w:hAnsiTheme="majorHAnsi" w:cstheme="majorHAnsi"/>
          <w:b/>
        </w:rPr>
        <w:t>content</w:t>
      </w:r>
      <w:proofErr w:type="gramEnd"/>
    </w:p>
    <w:p w14:paraId="2BC645DE" w14:textId="4ECF2B6D" w:rsidR="00E84123" w:rsidRPr="00515CF0" w:rsidRDefault="00E84123" w:rsidP="00F16257">
      <w:pPr>
        <w:spacing w:before="240" w:after="240"/>
        <w:jc w:val="both"/>
        <w:rPr>
          <w:rFonts w:asciiTheme="majorHAnsi" w:hAnsiTheme="majorHAnsi" w:cstheme="majorHAnsi"/>
        </w:rPr>
      </w:pPr>
      <w:r w:rsidRPr="00515CF0">
        <w:rPr>
          <w:rFonts w:asciiTheme="majorHAnsi" w:hAnsiTheme="majorHAnsi" w:cstheme="majorHAnsi"/>
        </w:rPr>
        <w:t xml:space="preserve">The policy content will have a double status in our analysis: on one side, it is part of the outcomes of the </w:t>
      </w:r>
      <w:r w:rsidR="00863033" w:rsidRPr="00515CF0">
        <w:rPr>
          <w:rFonts w:asciiTheme="majorHAnsi" w:hAnsiTheme="majorHAnsi" w:cstheme="majorHAnsi"/>
        </w:rPr>
        <w:t>COVID-19 response</w:t>
      </w:r>
      <w:r w:rsidRPr="00515CF0">
        <w:rPr>
          <w:rFonts w:asciiTheme="majorHAnsi" w:hAnsiTheme="majorHAnsi" w:cstheme="majorHAnsi"/>
        </w:rPr>
        <w:t xml:space="preserve"> process (see descriptive work above); on the other side, it is also one </w:t>
      </w:r>
      <w:r w:rsidR="001F2BB5" w:rsidRPr="00515CF0">
        <w:rPr>
          <w:rFonts w:asciiTheme="majorHAnsi" w:hAnsiTheme="majorHAnsi" w:cstheme="majorHAnsi"/>
        </w:rPr>
        <w:t>of the factors that</w:t>
      </w:r>
      <w:r w:rsidRPr="00515CF0">
        <w:rPr>
          <w:rFonts w:asciiTheme="majorHAnsi" w:hAnsiTheme="majorHAnsi" w:cstheme="majorHAnsi"/>
        </w:rPr>
        <w:t xml:space="preserve"> can enable or impede the </w:t>
      </w:r>
      <w:r w:rsidR="003B0820" w:rsidRPr="00515CF0">
        <w:rPr>
          <w:rFonts w:asciiTheme="majorHAnsi" w:hAnsiTheme="majorHAnsi" w:cstheme="majorHAnsi"/>
        </w:rPr>
        <w:t>effective pandemic response</w:t>
      </w:r>
      <w:r w:rsidRPr="00515CF0">
        <w:rPr>
          <w:rFonts w:asciiTheme="majorHAnsi" w:hAnsiTheme="majorHAnsi" w:cstheme="majorHAnsi"/>
        </w:rPr>
        <w:t xml:space="preserve">. </w:t>
      </w:r>
      <w:r w:rsidR="00E717E0" w:rsidRPr="00515CF0">
        <w:rPr>
          <w:rFonts w:asciiTheme="majorHAnsi" w:hAnsiTheme="majorHAnsi" w:cstheme="majorHAnsi"/>
        </w:rPr>
        <w:t>The response m</w:t>
      </w:r>
      <w:r w:rsidR="003B0820" w:rsidRPr="00515CF0">
        <w:rPr>
          <w:rFonts w:asciiTheme="majorHAnsi" w:hAnsiTheme="majorHAnsi" w:cstheme="majorHAnsi"/>
        </w:rPr>
        <w:t>easures</w:t>
      </w:r>
      <w:r w:rsidR="004F65C2" w:rsidRPr="00515CF0">
        <w:rPr>
          <w:rFonts w:asciiTheme="majorHAnsi" w:hAnsiTheme="majorHAnsi" w:cstheme="majorHAnsi"/>
        </w:rPr>
        <w:t xml:space="preserve"> that are </w:t>
      </w:r>
      <w:r w:rsidR="003B0820" w:rsidRPr="00515CF0">
        <w:rPr>
          <w:rFonts w:asciiTheme="majorHAnsi" w:hAnsiTheme="majorHAnsi" w:cstheme="majorHAnsi"/>
        </w:rPr>
        <w:t>not proporti</w:t>
      </w:r>
      <w:r w:rsidR="00E717E0" w:rsidRPr="00515CF0">
        <w:rPr>
          <w:rFonts w:asciiTheme="majorHAnsi" w:hAnsiTheme="majorHAnsi" w:cstheme="majorHAnsi"/>
        </w:rPr>
        <w:t xml:space="preserve">onal and adequate to the situation may </w:t>
      </w:r>
      <w:r w:rsidR="00930034" w:rsidRPr="00515CF0">
        <w:rPr>
          <w:rFonts w:asciiTheme="majorHAnsi" w:hAnsiTheme="majorHAnsi" w:cstheme="majorHAnsi"/>
        </w:rPr>
        <w:t>deliver net negative results</w:t>
      </w:r>
      <w:r w:rsidRPr="00515CF0">
        <w:rPr>
          <w:rFonts w:asciiTheme="majorHAnsi" w:hAnsiTheme="majorHAnsi" w:cstheme="majorHAnsi"/>
        </w:rPr>
        <w:t xml:space="preserve">. </w:t>
      </w:r>
      <w:r w:rsidR="004F65C2" w:rsidRPr="00515CF0">
        <w:rPr>
          <w:rFonts w:asciiTheme="majorHAnsi" w:hAnsiTheme="majorHAnsi" w:cstheme="majorHAnsi"/>
        </w:rPr>
        <w:t xml:space="preserve"> </w:t>
      </w:r>
      <w:r w:rsidR="00930034" w:rsidRPr="00515CF0">
        <w:rPr>
          <w:rFonts w:asciiTheme="majorHAnsi" w:hAnsiTheme="majorHAnsi" w:cstheme="majorHAnsi"/>
        </w:rPr>
        <w:t xml:space="preserve">For example, </w:t>
      </w:r>
      <w:r w:rsidR="002A621C" w:rsidRPr="00515CF0">
        <w:rPr>
          <w:rFonts w:asciiTheme="majorHAnsi" w:hAnsiTheme="majorHAnsi" w:cstheme="majorHAnsi"/>
        </w:rPr>
        <w:t>the</w:t>
      </w:r>
      <w:r w:rsidR="00EC371B" w:rsidRPr="00515CF0">
        <w:rPr>
          <w:rFonts w:asciiTheme="majorHAnsi" w:hAnsiTheme="majorHAnsi" w:cstheme="majorHAnsi"/>
        </w:rPr>
        <w:t xml:space="preserve"> </w:t>
      </w:r>
      <w:r w:rsidR="00EC371B" w:rsidRPr="00515CF0">
        <w:t xml:space="preserve">national lockdown used by many affected countries to prevent the spread of the virus in the absence of an effective vaccine is a double-edged sword, - while one edge disrupts the virus transmission chain, another edge destructs the economic and social ties within the society and if used for the extended period </w:t>
      </w:r>
      <w:r w:rsidR="00BC3755" w:rsidRPr="00515CF0">
        <w:t>may lead</w:t>
      </w:r>
      <w:r w:rsidR="00EC371B" w:rsidRPr="00515CF0">
        <w:t xml:space="preserve"> to even more poverty, suffering, and deaths, than direct health results of the </w:t>
      </w:r>
      <w:r w:rsidR="00BC3755" w:rsidRPr="00515CF0">
        <w:t xml:space="preserve">COVID-19 </w:t>
      </w:r>
      <w:r w:rsidR="00EC371B" w:rsidRPr="00515CF0">
        <w:t>infection.</w:t>
      </w:r>
      <w:r w:rsidR="00597A38" w:rsidRPr="00515CF0">
        <w:rPr>
          <w:rFonts w:asciiTheme="majorHAnsi" w:hAnsiTheme="majorHAnsi" w:cstheme="majorHAnsi"/>
        </w:rPr>
        <w:t xml:space="preserve"> The </w:t>
      </w:r>
      <w:r w:rsidR="0015315D" w:rsidRPr="00515CF0">
        <w:rPr>
          <w:rFonts w:asciiTheme="majorHAnsi" w:hAnsiTheme="majorHAnsi" w:cstheme="majorHAnsi"/>
        </w:rPr>
        <w:t>response</w:t>
      </w:r>
      <w:r w:rsidR="00597A38" w:rsidRPr="00515CF0">
        <w:rPr>
          <w:rFonts w:asciiTheme="majorHAnsi" w:hAnsiTheme="majorHAnsi" w:cstheme="majorHAnsi"/>
        </w:rPr>
        <w:t xml:space="preserve"> policy content has also changed over time as more evidence and experience with COVID-19 outbreak management accumulated globally and </w:t>
      </w:r>
      <w:r w:rsidR="00DC3997" w:rsidRPr="00515CF0">
        <w:rPr>
          <w:rFonts w:asciiTheme="majorHAnsi" w:hAnsiTheme="majorHAnsi" w:cstheme="majorHAnsi"/>
        </w:rPr>
        <w:t xml:space="preserve">nationally. </w:t>
      </w:r>
      <w:r w:rsidRPr="00515CF0">
        <w:rPr>
          <w:rFonts w:asciiTheme="majorHAnsi" w:hAnsiTheme="majorHAnsi" w:cstheme="majorHAnsi"/>
          <w:bCs/>
        </w:rPr>
        <w:t>On the timeline, we will report th</w:t>
      </w:r>
      <w:r w:rsidR="00DC3997" w:rsidRPr="00515CF0">
        <w:rPr>
          <w:rFonts w:asciiTheme="majorHAnsi" w:hAnsiTheme="majorHAnsi" w:cstheme="majorHAnsi"/>
          <w:bCs/>
        </w:rPr>
        <w:t xml:space="preserve">is </w:t>
      </w:r>
      <w:r w:rsidRPr="00515CF0">
        <w:rPr>
          <w:rFonts w:asciiTheme="majorHAnsi" w:hAnsiTheme="majorHAnsi" w:cstheme="majorHAnsi"/>
          <w:bCs/>
        </w:rPr>
        <w:t>multi-dimensional evolution of the content. We will also investigate the causes of this evolution, including (1) available scientific evidence (</w:t>
      </w:r>
      <w:r w:rsidR="002A621C" w:rsidRPr="00515CF0">
        <w:rPr>
          <w:rFonts w:asciiTheme="majorHAnsi" w:hAnsiTheme="majorHAnsi" w:cstheme="majorHAnsi"/>
          <w:bCs/>
        </w:rPr>
        <w:t xml:space="preserve">at </w:t>
      </w:r>
      <w:r w:rsidR="00041F82">
        <w:rPr>
          <w:rFonts w:asciiTheme="majorHAnsi" w:hAnsiTheme="majorHAnsi" w:cstheme="majorHAnsi"/>
          <w:bCs/>
        </w:rPr>
        <w:t xml:space="preserve">the </w:t>
      </w:r>
      <w:r w:rsidR="002A621C" w:rsidRPr="00515CF0">
        <w:rPr>
          <w:rFonts w:asciiTheme="majorHAnsi" w:hAnsiTheme="majorHAnsi" w:cstheme="majorHAnsi"/>
          <w:bCs/>
        </w:rPr>
        <w:t>global and national level</w:t>
      </w:r>
      <w:r w:rsidR="00724CC4">
        <w:rPr>
          <w:rFonts w:asciiTheme="majorHAnsi" w:hAnsiTheme="majorHAnsi" w:cstheme="majorHAnsi"/>
          <w:bCs/>
        </w:rPr>
        <w:t>s</w:t>
      </w:r>
      <w:r w:rsidR="002A621C" w:rsidRPr="00515CF0">
        <w:rPr>
          <w:rFonts w:asciiTheme="majorHAnsi" w:hAnsiTheme="majorHAnsi" w:cstheme="majorHAnsi"/>
          <w:bCs/>
        </w:rPr>
        <w:t>)</w:t>
      </w:r>
      <w:r w:rsidRPr="00515CF0">
        <w:rPr>
          <w:rFonts w:asciiTheme="majorHAnsi" w:hAnsiTheme="majorHAnsi" w:cstheme="majorHAnsi"/>
          <w:bCs/>
        </w:rPr>
        <w:t>; (</w:t>
      </w:r>
      <w:r w:rsidR="001C34F7" w:rsidRPr="00515CF0">
        <w:rPr>
          <w:rFonts w:asciiTheme="majorHAnsi" w:hAnsiTheme="majorHAnsi" w:cstheme="majorHAnsi"/>
          <w:bCs/>
        </w:rPr>
        <w:t>2</w:t>
      </w:r>
      <w:r w:rsidRPr="00515CF0">
        <w:rPr>
          <w:rFonts w:asciiTheme="majorHAnsi" w:hAnsiTheme="majorHAnsi" w:cstheme="majorHAnsi"/>
          <w:bCs/>
        </w:rPr>
        <w:t xml:space="preserve">) the need to </w:t>
      </w:r>
      <w:r w:rsidR="001C34F7" w:rsidRPr="00515CF0">
        <w:rPr>
          <w:rFonts w:asciiTheme="majorHAnsi" w:hAnsiTheme="majorHAnsi" w:cstheme="majorHAnsi"/>
          <w:bCs/>
        </w:rPr>
        <w:t xml:space="preserve">balance the economic and health </w:t>
      </w:r>
      <w:r w:rsidR="00C633D2" w:rsidRPr="00515CF0">
        <w:rPr>
          <w:rFonts w:asciiTheme="majorHAnsi" w:hAnsiTheme="majorHAnsi" w:cstheme="majorHAnsi"/>
          <w:bCs/>
        </w:rPr>
        <w:t>consequences of adopted response measures</w:t>
      </w:r>
      <w:r w:rsidRPr="00515CF0">
        <w:rPr>
          <w:rFonts w:asciiTheme="majorHAnsi" w:hAnsiTheme="majorHAnsi" w:cstheme="majorHAnsi"/>
          <w:bCs/>
        </w:rPr>
        <w:t>; (</w:t>
      </w:r>
      <w:r w:rsidR="001D55EE" w:rsidRPr="00515CF0">
        <w:rPr>
          <w:rFonts w:asciiTheme="majorHAnsi" w:hAnsiTheme="majorHAnsi" w:cstheme="majorHAnsi"/>
          <w:bCs/>
        </w:rPr>
        <w:t>3</w:t>
      </w:r>
      <w:r w:rsidRPr="00515CF0">
        <w:rPr>
          <w:rFonts w:asciiTheme="majorHAnsi" w:hAnsiTheme="majorHAnsi" w:cstheme="majorHAnsi"/>
          <w:bCs/>
        </w:rPr>
        <w:t xml:space="preserve">) </w:t>
      </w:r>
      <w:r w:rsidR="001D55EE" w:rsidRPr="00515CF0">
        <w:rPr>
          <w:rFonts w:asciiTheme="majorHAnsi" w:hAnsiTheme="majorHAnsi" w:cstheme="majorHAnsi"/>
          <w:bCs/>
        </w:rPr>
        <w:t xml:space="preserve">accumulated experience in </w:t>
      </w:r>
      <w:r w:rsidR="00724CC4">
        <w:rPr>
          <w:rFonts w:asciiTheme="majorHAnsi" w:hAnsiTheme="majorHAnsi" w:cstheme="majorHAnsi"/>
          <w:bCs/>
        </w:rPr>
        <w:t xml:space="preserve">the </w:t>
      </w:r>
      <w:r w:rsidR="001D55EE" w:rsidRPr="00515CF0">
        <w:rPr>
          <w:rFonts w:asciiTheme="majorHAnsi" w:hAnsiTheme="majorHAnsi" w:cstheme="majorHAnsi"/>
          <w:bCs/>
        </w:rPr>
        <w:t xml:space="preserve">application of the certain response measures. </w:t>
      </w:r>
      <w:r w:rsidRPr="00515CF0">
        <w:rPr>
          <w:rFonts w:asciiTheme="majorHAnsi" w:hAnsiTheme="majorHAnsi" w:cstheme="majorHAnsi"/>
          <w:bCs/>
        </w:rPr>
        <w:t xml:space="preserve"> </w:t>
      </w:r>
    </w:p>
    <w:p w14:paraId="0D4807B7" w14:textId="77777777" w:rsidR="00E84123" w:rsidRPr="00515CF0" w:rsidRDefault="00E84123" w:rsidP="00F16257">
      <w:pPr>
        <w:spacing w:before="240" w:after="240"/>
        <w:jc w:val="both"/>
        <w:rPr>
          <w:rFonts w:asciiTheme="majorHAnsi" w:hAnsiTheme="majorHAnsi" w:cstheme="majorHAnsi"/>
          <w:b/>
        </w:rPr>
      </w:pPr>
      <w:r w:rsidRPr="00515CF0">
        <w:rPr>
          <w:rFonts w:asciiTheme="majorHAnsi" w:hAnsiTheme="majorHAnsi" w:cstheme="majorHAnsi"/>
          <w:b/>
          <w:bCs/>
        </w:rPr>
        <w:t>Actors</w:t>
      </w:r>
    </w:p>
    <w:p w14:paraId="205EE52A" w14:textId="7CC1E2F7" w:rsidR="00BE119F" w:rsidRPr="00515CF0" w:rsidRDefault="00E84123" w:rsidP="00F16257">
      <w:pPr>
        <w:autoSpaceDE w:val="0"/>
        <w:autoSpaceDN w:val="0"/>
        <w:adjustRightInd w:val="0"/>
        <w:jc w:val="both"/>
        <w:rPr>
          <w:rFonts w:asciiTheme="majorHAnsi" w:hAnsiTheme="majorHAnsi" w:cstheme="majorHAnsi"/>
        </w:rPr>
      </w:pPr>
      <w:r w:rsidRPr="00515CF0">
        <w:rPr>
          <w:rFonts w:asciiTheme="majorHAnsi" w:hAnsiTheme="majorHAnsi" w:cstheme="majorHAnsi"/>
          <w:bCs/>
        </w:rPr>
        <w:t xml:space="preserve">We will pay </w:t>
      </w:r>
      <w:proofErr w:type="gramStart"/>
      <w:r w:rsidRPr="00515CF0">
        <w:rPr>
          <w:rFonts w:asciiTheme="majorHAnsi" w:hAnsiTheme="majorHAnsi" w:cstheme="majorHAnsi"/>
          <w:bCs/>
        </w:rPr>
        <w:t>particular attention</w:t>
      </w:r>
      <w:proofErr w:type="gramEnd"/>
      <w:r w:rsidRPr="00515CF0">
        <w:rPr>
          <w:rFonts w:asciiTheme="majorHAnsi" w:hAnsiTheme="majorHAnsi" w:cstheme="majorHAnsi"/>
          <w:bCs/>
        </w:rPr>
        <w:t xml:space="preserve"> to </w:t>
      </w:r>
      <w:r w:rsidR="00320E33" w:rsidRPr="00515CF0">
        <w:rPr>
          <w:rFonts w:asciiTheme="majorHAnsi" w:hAnsiTheme="majorHAnsi" w:cstheme="majorHAnsi"/>
        </w:rPr>
        <w:t>Ministry and other GoG</w:t>
      </w:r>
      <w:r w:rsidR="00281D61" w:rsidRPr="00515CF0">
        <w:rPr>
          <w:rFonts w:asciiTheme="majorHAnsi" w:hAnsiTheme="majorHAnsi" w:cstheme="majorHAnsi"/>
        </w:rPr>
        <w:t xml:space="preserve"> policymakers</w:t>
      </w:r>
      <w:r w:rsidRPr="00515CF0">
        <w:rPr>
          <w:rFonts w:asciiTheme="majorHAnsi" w:hAnsiTheme="majorHAnsi" w:cstheme="majorHAnsi"/>
        </w:rPr>
        <w:t xml:space="preserve"> involved in the </w:t>
      </w:r>
      <w:r w:rsidR="0039699E" w:rsidRPr="00515CF0">
        <w:rPr>
          <w:rFonts w:asciiTheme="majorHAnsi" w:hAnsiTheme="majorHAnsi" w:cstheme="majorHAnsi"/>
        </w:rPr>
        <w:t>COVID-19 response</w:t>
      </w:r>
      <w:r w:rsidRPr="00515CF0">
        <w:rPr>
          <w:rFonts w:asciiTheme="majorHAnsi" w:hAnsiTheme="majorHAnsi" w:cstheme="majorHAnsi"/>
        </w:rPr>
        <w:t xml:space="preserve"> process (</w:t>
      </w:r>
      <w:r w:rsidRPr="00515CF0">
        <w:rPr>
          <w:rFonts w:asciiTheme="majorHAnsi" w:hAnsiTheme="majorHAnsi" w:cstheme="majorHAnsi"/>
          <w:b/>
          <w:bCs/>
        </w:rPr>
        <w:t>the policy actors</w:t>
      </w:r>
      <w:r w:rsidRPr="00515CF0">
        <w:rPr>
          <w:rFonts w:asciiTheme="majorHAnsi" w:hAnsiTheme="majorHAnsi" w:cstheme="majorHAnsi"/>
        </w:rPr>
        <w:t>)</w:t>
      </w:r>
      <w:r w:rsidRPr="00515CF0">
        <w:rPr>
          <w:rFonts w:asciiTheme="majorHAnsi" w:hAnsiTheme="majorHAnsi" w:cstheme="majorHAnsi"/>
          <w:bCs/>
        </w:rPr>
        <w:t xml:space="preserve">, as they are </w:t>
      </w:r>
      <w:r w:rsidRPr="00515CF0">
        <w:rPr>
          <w:rFonts w:asciiTheme="majorHAnsi" w:hAnsiTheme="majorHAnsi" w:cstheme="majorHAnsi"/>
        </w:rPr>
        <w:t>at the center of the Walt &amp; Gilson framework</w:t>
      </w:r>
      <w:r w:rsidRPr="00515CF0">
        <w:rPr>
          <w:rFonts w:asciiTheme="majorHAnsi" w:hAnsiTheme="majorHAnsi" w:cstheme="majorHAnsi"/>
          <w:bCs/>
        </w:rPr>
        <w:t xml:space="preserve"> with free will and agency power. They include</w:t>
      </w:r>
      <w:r w:rsidRPr="00515CF0">
        <w:rPr>
          <w:rFonts w:asciiTheme="majorHAnsi" w:hAnsiTheme="majorHAnsi" w:cstheme="majorHAnsi"/>
        </w:rPr>
        <w:t xml:space="preserve"> individuals, groups of individuals or organizations, </w:t>
      </w:r>
      <w:r w:rsidR="0039699E" w:rsidRPr="00515CF0">
        <w:rPr>
          <w:rFonts w:asciiTheme="majorHAnsi" w:hAnsiTheme="majorHAnsi" w:cstheme="majorHAnsi"/>
        </w:rPr>
        <w:t xml:space="preserve">and </w:t>
      </w:r>
      <w:r w:rsidRPr="00515CF0">
        <w:rPr>
          <w:rFonts w:asciiTheme="majorHAnsi" w:hAnsiTheme="majorHAnsi" w:cstheme="majorHAnsi"/>
        </w:rPr>
        <w:lastRenderedPageBreak/>
        <w:t xml:space="preserve">governments. Generally, actors can be divided in state and non-state actors (including civil society organizations), national versus international actors, or by their area or level of involvement (field, district, regional or national level) and their interest/implication. </w:t>
      </w:r>
    </w:p>
    <w:p w14:paraId="42FA34F3" w14:textId="1C55A8DB" w:rsidR="00E84123" w:rsidRPr="00212184" w:rsidRDefault="00AA0276" w:rsidP="00F16257">
      <w:pPr>
        <w:autoSpaceDE w:val="0"/>
        <w:autoSpaceDN w:val="0"/>
        <w:adjustRightInd w:val="0"/>
        <w:jc w:val="both"/>
        <w:rPr>
          <w:rFonts w:asciiTheme="majorHAnsi" w:hAnsiTheme="majorHAnsi" w:cstheme="majorHAnsi"/>
        </w:rPr>
      </w:pPr>
      <w:r w:rsidRPr="00515CF0">
        <w:rPr>
          <w:rFonts w:asciiTheme="majorHAnsi" w:hAnsiTheme="majorHAnsi" w:cstheme="majorHAnsi"/>
        </w:rPr>
        <w:t xml:space="preserve">We argue that </w:t>
      </w:r>
      <w:r w:rsidR="006D4414" w:rsidRPr="00515CF0">
        <w:rPr>
          <w:rFonts w:asciiTheme="majorHAnsi" w:hAnsiTheme="majorHAnsi" w:cstheme="majorHAnsi"/>
        </w:rPr>
        <w:t>COVID-19 response, as any other</w:t>
      </w:r>
      <w:r w:rsidR="00BE119F" w:rsidRPr="00515CF0">
        <w:rPr>
          <w:rFonts w:asciiTheme="majorHAnsi" w:hAnsiTheme="majorHAnsi" w:cstheme="majorHAnsi"/>
        </w:rPr>
        <w:t xml:space="preserve"> </w:t>
      </w:r>
      <w:r w:rsidR="006D4414" w:rsidRPr="00515CF0">
        <w:rPr>
          <w:rFonts w:asciiTheme="majorHAnsi" w:hAnsiTheme="majorHAnsi" w:cstheme="majorHAnsi"/>
        </w:rPr>
        <w:t>c</w:t>
      </w:r>
      <w:r w:rsidR="00BE119F" w:rsidRPr="00515CF0">
        <w:rPr>
          <w:rFonts w:asciiTheme="majorHAnsi" w:hAnsiTheme="majorHAnsi" w:cstheme="majorHAnsi"/>
        </w:rPr>
        <w:t xml:space="preserve">risis response and management </w:t>
      </w:r>
      <w:r w:rsidRPr="00515CF0">
        <w:rPr>
          <w:rFonts w:asciiTheme="majorHAnsi" w:hAnsiTheme="majorHAnsi" w:cstheme="majorHAnsi"/>
        </w:rPr>
        <w:t>occur</w:t>
      </w:r>
      <w:r w:rsidR="006F1740" w:rsidRPr="00515CF0">
        <w:rPr>
          <w:rFonts w:asciiTheme="majorHAnsi" w:hAnsiTheme="majorHAnsi" w:cstheme="majorHAnsi"/>
        </w:rPr>
        <w:t>s</w:t>
      </w:r>
      <w:r w:rsidR="00BE119F" w:rsidRPr="00515CF0">
        <w:rPr>
          <w:rFonts w:asciiTheme="majorHAnsi" w:hAnsiTheme="majorHAnsi" w:cstheme="majorHAnsi"/>
        </w:rPr>
        <w:t xml:space="preserve"> at two levels.</w:t>
      </w:r>
      <w:r w:rsidR="00F75A2C" w:rsidRPr="00515CF0">
        <w:rPr>
          <w:rFonts w:asciiTheme="majorHAnsi" w:hAnsiTheme="majorHAnsi" w:cstheme="majorHAnsi"/>
        </w:rPr>
        <w:t xml:space="preserve"> </w:t>
      </w:r>
      <w:r w:rsidR="00BE119F" w:rsidRPr="00515CF0">
        <w:rPr>
          <w:rFonts w:asciiTheme="majorHAnsi" w:hAnsiTheme="majorHAnsi" w:cstheme="majorHAnsi"/>
        </w:rPr>
        <w:t>The operational level refers to on-the-ground decisions and behaviors and includes medical personnel, epidemiologists, emergency managers, and other professionals coping with the pandemic’s immediate threat. The strategic level includes political-administrative leaders that carry political responsibility and make strategic decisions, provide public accounts of events, and support coordination and collaboration. The ongoing need for adjustments in crisis response and management in the face of evolving circumstances and events require continuous engagement from both levels.</w:t>
      </w:r>
      <w:r w:rsidR="00491094" w:rsidRPr="00491094">
        <w:rPr>
          <w:rFonts w:asciiTheme="majorHAnsi" w:hAnsiTheme="majorHAnsi" w:cstheme="majorHAnsi"/>
        </w:rPr>
        <w:t xml:space="preserve"> </w:t>
      </w:r>
      <w:sdt>
        <w:sdtPr>
          <w:rPr>
            <w:rFonts w:asciiTheme="majorHAnsi" w:hAnsiTheme="majorHAnsi" w:cstheme="majorHAnsi"/>
          </w:rPr>
          <w:id w:val="-463193258"/>
          <w:citation/>
        </w:sdtPr>
        <w:sdtEndPr/>
        <w:sdtContent>
          <w:r w:rsidR="00491094" w:rsidRPr="00515CF0">
            <w:rPr>
              <w:rFonts w:asciiTheme="majorHAnsi" w:hAnsiTheme="majorHAnsi" w:cstheme="majorHAnsi"/>
            </w:rPr>
            <w:fldChar w:fldCharType="begin"/>
          </w:r>
          <w:r w:rsidR="00491094" w:rsidRPr="00515CF0">
            <w:rPr>
              <w:rFonts w:asciiTheme="majorHAnsi" w:hAnsiTheme="majorHAnsi" w:cstheme="majorHAnsi"/>
            </w:rPr>
            <w:instrText xml:space="preserve"> CITATION Boi10 \l 1033 </w:instrText>
          </w:r>
          <w:r w:rsidR="00491094" w:rsidRPr="00515CF0">
            <w:rPr>
              <w:rFonts w:asciiTheme="majorHAnsi" w:hAnsiTheme="majorHAnsi" w:cstheme="majorHAnsi"/>
            </w:rPr>
            <w:fldChar w:fldCharType="separate"/>
          </w:r>
          <w:r w:rsidR="00491094" w:rsidRPr="00515CF0">
            <w:rPr>
              <w:rFonts w:asciiTheme="majorHAnsi" w:hAnsiTheme="majorHAnsi" w:cstheme="majorHAnsi"/>
              <w:noProof/>
            </w:rPr>
            <w:t>[23]</w:t>
          </w:r>
          <w:r w:rsidR="00491094" w:rsidRPr="00515CF0">
            <w:rPr>
              <w:rFonts w:asciiTheme="majorHAnsi" w:hAnsiTheme="majorHAnsi" w:cstheme="majorHAnsi"/>
            </w:rPr>
            <w:fldChar w:fldCharType="end"/>
          </w:r>
        </w:sdtContent>
      </w:sdt>
      <w:r w:rsidR="003628D6">
        <w:rPr>
          <w:rFonts w:asciiTheme="majorHAnsi" w:hAnsiTheme="majorHAnsi" w:cstheme="majorHAnsi"/>
        </w:rPr>
        <w:t xml:space="preserve"> A</w:t>
      </w:r>
      <w:r w:rsidR="00E84123" w:rsidRPr="00515CF0">
        <w:rPr>
          <w:rFonts w:asciiTheme="majorHAnsi" w:hAnsiTheme="majorHAnsi" w:cstheme="majorHAnsi"/>
        </w:rPr>
        <w:t xml:space="preserve">ctors </w:t>
      </w:r>
      <w:r w:rsidR="00724CC4">
        <w:rPr>
          <w:rFonts w:asciiTheme="majorHAnsi" w:hAnsiTheme="majorHAnsi" w:cstheme="majorHAnsi"/>
        </w:rPr>
        <w:t>also include</w:t>
      </w:r>
      <w:r w:rsidR="00E84123" w:rsidRPr="00515CF0">
        <w:rPr>
          <w:rFonts w:asciiTheme="majorHAnsi" w:hAnsiTheme="majorHAnsi" w:cstheme="majorHAnsi"/>
        </w:rPr>
        <w:t xml:space="preserve"> tho</w:t>
      </w:r>
      <w:r w:rsidR="00A266F2" w:rsidRPr="00515CF0">
        <w:rPr>
          <w:rFonts w:asciiTheme="majorHAnsi" w:hAnsiTheme="majorHAnsi" w:cstheme="majorHAnsi"/>
        </w:rPr>
        <w:t>se who can benefit from or are a</w:t>
      </w:r>
      <w:r w:rsidR="00E84123" w:rsidRPr="00515CF0">
        <w:rPr>
          <w:rFonts w:asciiTheme="majorHAnsi" w:hAnsiTheme="majorHAnsi" w:cstheme="majorHAnsi"/>
        </w:rPr>
        <w:t xml:space="preserve">ffected by the </w:t>
      </w:r>
      <w:r w:rsidR="00491094">
        <w:rPr>
          <w:rFonts w:asciiTheme="majorHAnsi" w:hAnsiTheme="majorHAnsi" w:cstheme="majorHAnsi"/>
        </w:rPr>
        <w:t xml:space="preserve">COVID-19 response </w:t>
      </w:r>
      <w:r w:rsidR="00E84123" w:rsidRPr="00515CF0">
        <w:rPr>
          <w:rFonts w:asciiTheme="majorHAnsi" w:hAnsiTheme="majorHAnsi" w:cstheme="majorHAnsi"/>
        </w:rPr>
        <w:t xml:space="preserve">implementation (the direct and indirect beneficiaries). Actors can also be grouped by their position towards the </w:t>
      </w:r>
      <w:r w:rsidR="003628D6">
        <w:rPr>
          <w:rFonts w:asciiTheme="majorHAnsi" w:hAnsiTheme="majorHAnsi" w:cstheme="majorHAnsi"/>
        </w:rPr>
        <w:t xml:space="preserve">response measures </w:t>
      </w:r>
      <w:r w:rsidR="00E84123" w:rsidRPr="00515CF0">
        <w:rPr>
          <w:rFonts w:asciiTheme="majorHAnsi" w:hAnsiTheme="majorHAnsi" w:cstheme="majorHAnsi"/>
        </w:rPr>
        <w:t xml:space="preserve">(proponents versus opponents), and their degree or power in influencing the </w:t>
      </w:r>
      <w:r w:rsidR="003628D6">
        <w:rPr>
          <w:rFonts w:asciiTheme="majorHAnsi" w:hAnsiTheme="majorHAnsi" w:cstheme="majorHAnsi"/>
        </w:rPr>
        <w:t xml:space="preserve">COVID-19 response </w:t>
      </w:r>
      <w:r w:rsidR="00E84123" w:rsidRPr="00515CF0">
        <w:rPr>
          <w:rFonts w:asciiTheme="majorHAnsi" w:hAnsiTheme="majorHAnsi" w:cstheme="majorHAnsi"/>
        </w:rPr>
        <w:t>process.</w:t>
      </w:r>
      <w:r w:rsidR="00E84123" w:rsidRPr="00515CF0">
        <w:rPr>
          <w:rFonts w:asciiTheme="majorHAnsi" w:hAnsiTheme="majorHAnsi" w:cstheme="majorHAnsi"/>
          <w:bCs/>
        </w:rPr>
        <w:t xml:space="preserve"> </w:t>
      </w:r>
    </w:p>
    <w:p w14:paraId="668F9C73" w14:textId="005D8F1D" w:rsidR="00E84123" w:rsidRPr="00515CF0" w:rsidRDefault="00E84123" w:rsidP="00F16257">
      <w:pPr>
        <w:autoSpaceDE w:val="0"/>
        <w:autoSpaceDN w:val="0"/>
        <w:adjustRightInd w:val="0"/>
        <w:jc w:val="both"/>
        <w:rPr>
          <w:rFonts w:asciiTheme="majorHAnsi" w:hAnsiTheme="majorHAnsi" w:cstheme="majorHAnsi"/>
          <w:bCs/>
        </w:rPr>
      </w:pPr>
      <w:r w:rsidRPr="00515CF0">
        <w:rPr>
          <w:rFonts w:asciiTheme="majorHAnsi" w:hAnsiTheme="majorHAnsi" w:cstheme="majorHAnsi"/>
          <w:bCs/>
        </w:rPr>
        <w:t>We will investigate how the actors interacted among them</w:t>
      </w:r>
      <w:r w:rsidR="004F65C2" w:rsidRPr="00515CF0">
        <w:rPr>
          <w:rFonts w:asciiTheme="majorHAnsi" w:hAnsiTheme="majorHAnsi" w:cstheme="majorHAnsi"/>
          <w:bCs/>
        </w:rPr>
        <w:t>selves</w:t>
      </w:r>
      <w:r w:rsidRPr="00515CF0">
        <w:rPr>
          <w:rFonts w:asciiTheme="majorHAnsi" w:hAnsiTheme="majorHAnsi" w:cstheme="majorHAnsi"/>
          <w:bCs/>
        </w:rPr>
        <w:t xml:space="preserve"> and exercised their power (financial, political, technical, symbolic and normative power) to influence the </w:t>
      </w:r>
      <w:r w:rsidR="00212184">
        <w:rPr>
          <w:rFonts w:asciiTheme="majorHAnsi" w:hAnsiTheme="majorHAnsi" w:cstheme="majorHAnsi"/>
          <w:bCs/>
        </w:rPr>
        <w:t>COVID-19 response</w:t>
      </w:r>
      <w:r w:rsidRPr="00515CF0">
        <w:rPr>
          <w:rFonts w:asciiTheme="majorHAnsi" w:hAnsiTheme="majorHAnsi" w:cstheme="majorHAnsi"/>
          <w:bCs/>
        </w:rPr>
        <w:t xml:space="preserve"> related decisions/actions and the reasons behind such decisions</w:t>
      </w:r>
      <w:r w:rsidR="00212184">
        <w:rPr>
          <w:rFonts w:asciiTheme="majorHAnsi" w:hAnsiTheme="majorHAnsi" w:cstheme="majorHAnsi"/>
          <w:bCs/>
        </w:rPr>
        <w:t xml:space="preserve"> with particular emphasis on actors from the Ministry and its subordinate organizations and the wider health sector</w:t>
      </w:r>
      <w:r w:rsidRPr="00515CF0">
        <w:rPr>
          <w:rFonts w:asciiTheme="majorHAnsi" w:hAnsiTheme="majorHAnsi" w:cstheme="majorHAnsi"/>
          <w:bCs/>
        </w:rPr>
        <w:t>. We assume that such decisions/actions</w:t>
      </w:r>
      <w:r w:rsidR="00163F06">
        <w:rPr>
          <w:rFonts w:asciiTheme="majorHAnsi" w:hAnsiTheme="majorHAnsi" w:cstheme="majorHAnsi"/>
          <w:bCs/>
        </w:rPr>
        <w:t xml:space="preserve"> of actors</w:t>
      </w:r>
      <w:r w:rsidRPr="00515CF0">
        <w:rPr>
          <w:rFonts w:asciiTheme="majorHAnsi" w:hAnsiTheme="majorHAnsi" w:cstheme="majorHAnsi"/>
          <w:bCs/>
        </w:rPr>
        <w:t xml:space="preserve"> have been determined by the information at their disposal, their own interests and constraints, including the overall context. </w:t>
      </w:r>
    </w:p>
    <w:p w14:paraId="5E540E1A" w14:textId="769D492E" w:rsidR="00E84123" w:rsidRPr="00515CF0" w:rsidRDefault="00E84123" w:rsidP="00F16257">
      <w:pPr>
        <w:autoSpaceDE w:val="0"/>
        <w:autoSpaceDN w:val="0"/>
        <w:adjustRightInd w:val="0"/>
        <w:jc w:val="both"/>
        <w:rPr>
          <w:rFonts w:asciiTheme="majorHAnsi" w:hAnsiTheme="majorHAnsi" w:cstheme="majorHAnsi"/>
          <w:bCs/>
        </w:rPr>
      </w:pPr>
      <w:r w:rsidRPr="00515CF0">
        <w:rPr>
          <w:rFonts w:asciiTheme="majorHAnsi" w:hAnsiTheme="majorHAnsi" w:cstheme="majorHAnsi"/>
          <w:bCs/>
        </w:rPr>
        <w:t xml:space="preserve">Our analysis will highlight that the progress from </w:t>
      </w:r>
      <w:r w:rsidR="000005E2">
        <w:rPr>
          <w:rFonts w:asciiTheme="majorHAnsi" w:hAnsiTheme="majorHAnsi" w:cstheme="majorHAnsi"/>
          <w:bCs/>
        </w:rPr>
        <w:t xml:space="preserve">planning to implementation </w:t>
      </w:r>
      <w:r w:rsidRPr="00515CF0">
        <w:rPr>
          <w:rFonts w:asciiTheme="majorHAnsi" w:hAnsiTheme="majorHAnsi" w:cstheme="majorHAnsi"/>
          <w:bCs/>
        </w:rPr>
        <w:t>implies the contribution of a chain of actors, which use different ‘currencies’ (evidence, funding, symbolic power, social recognitio</w:t>
      </w:r>
      <w:r w:rsidR="002B2478">
        <w:rPr>
          <w:rFonts w:asciiTheme="majorHAnsi" w:hAnsiTheme="majorHAnsi" w:cstheme="majorHAnsi"/>
          <w:bCs/>
        </w:rPr>
        <w:t>n</w:t>
      </w:r>
      <w:r w:rsidRPr="00515CF0">
        <w:rPr>
          <w:rFonts w:asciiTheme="majorHAnsi" w:hAnsiTheme="majorHAnsi" w:cstheme="majorHAnsi"/>
          <w:bCs/>
        </w:rPr>
        <w:t>) to obtain buy-in by other actors</w:t>
      </w:r>
      <w:r w:rsidR="004A5554">
        <w:rPr>
          <w:rFonts w:asciiTheme="majorHAnsi" w:hAnsiTheme="majorHAnsi" w:cstheme="majorHAnsi"/>
          <w:bCs/>
        </w:rPr>
        <w:t xml:space="preserve"> – decision-makers.</w:t>
      </w:r>
      <w:r w:rsidRPr="00515CF0">
        <w:rPr>
          <w:rFonts w:asciiTheme="majorHAnsi" w:hAnsiTheme="majorHAnsi" w:cstheme="majorHAnsi"/>
          <w:bCs/>
        </w:rPr>
        <w:t xml:space="preserve"> </w:t>
      </w:r>
      <w:r w:rsidRPr="00515CF0">
        <w:rPr>
          <w:rFonts w:asciiTheme="majorHAnsi" w:hAnsiTheme="majorHAnsi" w:cstheme="majorHAnsi"/>
        </w:rPr>
        <w:t>We will use stakeholder analysis tools</w:t>
      </w:r>
      <w:r w:rsidR="004D6C02">
        <w:rPr>
          <w:rFonts w:asciiTheme="majorHAnsi" w:hAnsiTheme="majorHAnsi" w:cstheme="majorHAnsi"/>
        </w:rPr>
        <w:t xml:space="preserve"> </w:t>
      </w:r>
      <w:sdt>
        <w:sdtPr>
          <w:rPr>
            <w:rFonts w:asciiTheme="majorHAnsi" w:hAnsiTheme="majorHAnsi" w:cstheme="majorHAnsi"/>
          </w:rPr>
          <w:id w:val="1377041743"/>
          <w:citation/>
        </w:sdtPr>
        <w:sdtEndPr/>
        <w:sdtContent>
          <w:r w:rsidR="004D6C02">
            <w:rPr>
              <w:rFonts w:asciiTheme="majorHAnsi" w:hAnsiTheme="majorHAnsi" w:cstheme="majorHAnsi"/>
            </w:rPr>
            <w:fldChar w:fldCharType="begin"/>
          </w:r>
          <w:r w:rsidR="004D6C02">
            <w:rPr>
              <w:rFonts w:asciiTheme="majorHAnsi" w:hAnsiTheme="majorHAnsi" w:cstheme="majorHAnsi"/>
            </w:rPr>
            <w:instrText xml:space="preserve"> CITATION Bru00 \l 1033 </w:instrText>
          </w:r>
          <w:r w:rsidR="004D6C02">
            <w:rPr>
              <w:rFonts w:asciiTheme="majorHAnsi" w:hAnsiTheme="majorHAnsi" w:cstheme="majorHAnsi"/>
            </w:rPr>
            <w:fldChar w:fldCharType="separate"/>
          </w:r>
          <w:r w:rsidR="004D6C02" w:rsidRPr="004D6C02">
            <w:rPr>
              <w:rFonts w:asciiTheme="majorHAnsi" w:hAnsiTheme="majorHAnsi" w:cstheme="majorHAnsi"/>
              <w:noProof/>
            </w:rPr>
            <w:t>[24]</w:t>
          </w:r>
          <w:r w:rsidR="004D6C02">
            <w:rPr>
              <w:rFonts w:asciiTheme="majorHAnsi" w:hAnsiTheme="majorHAnsi" w:cstheme="majorHAnsi"/>
            </w:rPr>
            <w:fldChar w:fldCharType="end"/>
          </w:r>
        </w:sdtContent>
      </w:sdt>
      <w:r w:rsidR="004D6C02">
        <w:rPr>
          <w:rFonts w:asciiTheme="majorHAnsi" w:hAnsiTheme="majorHAnsi" w:cstheme="majorHAnsi"/>
        </w:rPr>
        <w:t xml:space="preserve"> </w:t>
      </w:r>
      <w:r w:rsidRPr="00515CF0">
        <w:rPr>
          <w:rFonts w:asciiTheme="majorHAnsi" w:hAnsiTheme="majorHAnsi" w:cstheme="majorHAnsi"/>
        </w:rPr>
        <w:t xml:space="preserve">to analyze the power of actors, their networking and political will or position towards the </w:t>
      </w:r>
      <w:r w:rsidR="004D6C02">
        <w:rPr>
          <w:rFonts w:asciiTheme="majorHAnsi" w:hAnsiTheme="majorHAnsi" w:cstheme="majorHAnsi"/>
        </w:rPr>
        <w:t>COVID-19 response</w:t>
      </w:r>
      <w:r w:rsidR="00FB69D6">
        <w:rPr>
          <w:rFonts w:asciiTheme="majorHAnsi" w:hAnsiTheme="majorHAnsi" w:cstheme="majorHAnsi"/>
        </w:rPr>
        <w:t xml:space="preserve"> </w:t>
      </w:r>
      <w:r w:rsidRPr="00515CF0">
        <w:rPr>
          <w:rFonts w:asciiTheme="majorHAnsi" w:hAnsiTheme="majorHAnsi" w:cstheme="majorHAnsi"/>
        </w:rPr>
        <w:t>in order to clearly recognize whether they are enablers or hinders o</w:t>
      </w:r>
      <w:r w:rsidR="00DD6345" w:rsidRPr="00515CF0">
        <w:rPr>
          <w:rFonts w:asciiTheme="majorHAnsi" w:hAnsiTheme="majorHAnsi" w:cstheme="majorHAnsi"/>
        </w:rPr>
        <w:t>f</w:t>
      </w:r>
      <w:r w:rsidRPr="00515CF0">
        <w:rPr>
          <w:rFonts w:asciiTheme="majorHAnsi" w:hAnsiTheme="majorHAnsi" w:cstheme="majorHAnsi"/>
        </w:rPr>
        <w:t xml:space="preserve"> the </w:t>
      </w:r>
      <w:r w:rsidR="00FB69D6">
        <w:rPr>
          <w:rFonts w:asciiTheme="majorHAnsi" w:hAnsiTheme="majorHAnsi" w:cstheme="majorHAnsi"/>
        </w:rPr>
        <w:t>pandemic response implementation</w:t>
      </w:r>
      <w:r w:rsidRPr="00515CF0">
        <w:rPr>
          <w:rFonts w:asciiTheme="majorHAnsi" w:hAnsiTheme="majorHAnsi" w:cstheme="majorHAnsi"/>
        </w:rPr>
        <w:t xml:space="preserve"> process.   </w:t>
      </w:r>
    </w:p>
    <w:p w14:paraId="7F154995" w14:textId="5EF26577" w:rsidR="00E84123" w:rsidRPr="00FB69D6" w:rsidRDefault="00E84123" w:rsidP="00F16257">
      <w:pPr>
        <w:autoSpaceDE w:val="0"/>
        <w:autoSpaceDN w:val="0"/>
        <w:adjustRightInd w:val="0"/>
        <w:jc w:val="both"/>
        <w:rPr>
          <w:rFonts w:asciiTheme="majorHAnsi" w:hAnsiTheme="majorHAnsi" w:cstheme="majorHAnsi"/>
          <w:b/>
          <w:bCs/>
        </w:rPr>
      </w:pPr>
      <w:r w:rsidRPr="00515CF0">
        <w:rPr>
          <w:rFonts w:asciiTheme="majorHAnsi" w:hAnsiTheme="majorHAnsi" w:cstheme="majorHAnsi"/>
          <w:b/>
          <w:bCs/>
        </w:rPr>
        <w:t>Context</w:t>
      </w:r>
    </w:p>
    <w:p w14:paraId="3C0D4106" w14:textId="17FB18C2" w:rsidR="00752779" w:rsidRDefault="00E84123" w:rsidP="00F16257">
      <w:pPr>
        <w:autoSpaceDE w:val="0"/>
        <w:autoSpaceDN w:val="0"/>
        <w:adjustRightInd w:val="0"/>
        <w:jc w:val="both"/>
        <w:rPr>
          <w:rFonts w:asciiTheme="majorHAnsi" w:hAnsiTheme="majorHAnsi" w:cstheme="majorHAnsi"/>
        </w:rPr>
      </w:pPr>
      <w:r w:rsidRPr="00515CF0">
        <w:rPr>
          <w:rFonts w:asciiTheme="majorHAnsi" w:hAnsiTheme="majorHAnsi" w:cstheme="majorHAnsi"/>
          <w:b/>
          <w:bCs/>
        </w:rPr>
        <w:t>The policy context</w:t>
      </w:r>
      <w:r w:rsidRPr="00515CF0">
        <w:rPr>
          <w:rFonts w:asciiTheme="majorHAnsi" w:hAnsiTheme="majorHAnsi" w:cstheme="majorHAnsi"/>
        </w:rPr>
        <w:t xml:space="preserve"> where </w:t>
      </w:r>
      <w:r w:rsidR="00724CC4">
        <w:rPr>
          <w:rFonts w:asciiTheme="majorHAnsi" w:hAnsiTheme="majorHAnsi" w:cstheme="majorHAnsi"/>
        </w:rPr>
        <w:t xml:space="preserve">the </w:t>
      </w:r>
      <w:r w:rsidR="00475D99">
        <w:rPr>
          <w:rFonts w:asciiTheme="majorHAnsi" w:hAnsiTheme="majorHAnsi" w:cstheme="majorHAnsi"/>
        </w:rPr>
        <w:t>pandemic response was planned</w:t>
      </w:r>
      <w:r w:rsidRPr="00515CF0">
        <w:rPr>
          <w:rFonts w:asciiTheme="majorHAnsi" w:hAnsiTheme="majorHAnsi" w:cstheme="majorHAnsi"/>
        </w:rPr>
        <w:t xml:space="preserve"> and implemented, according to Gilson and </w:t>
      </w:r>
      <w:proofErr w:type="spellStart"/>
      <w:r w:rsidRPr="00515CF0">
        <w:rPr>
          <w:rFonts w:asciiTheme="majorHAnsi" w:hAnsiTheme="majorHAnsi" w:cstheme="majorHAnsi"/>
        </w:rPr>
        <w:t>Raphaely</w:t>
      </w:r>
      <w:proofErr w:type="spellEnd"/>
      <w:r w:rsidR="00FE5D19">
        <w:rPr>
          <w:rFonts w:asciiTheme="majorHAnsi" w:hAnsiTheme="majorHAnsi" w:cstheme="majorHAnsi"/>
        </w:rPr>
        <w:t xml:space="preserve"> </w:t>
      </w:r>
      <w:sdt>
        <w:sdtPr>
          <w:rPr>
            <w:rFonts w:asciiTheme="majorHAnsi" w:hAnsiTheme="majorHAnsi" w:cstheme="majorHAnsi"/>
          </w:rPr>
          <w:id w:val="-248200037"/>
          <w:citation/>
        </w:sdtPr>
        <w:sdtEndPr/>
        <w:sdtContent>
          <w:r w:rsidR="00FE5D19">
            <w:rPr>
              <w:rFonts w:asciiTheme="majorHAnsi" w:hAnsiTheme="majorHAnsi" w:cstheme="majorHAnsi"/>
            </w:rPr>
            <w:fldChar w:fldCharType="begin"/>
          </w:r>
          <w:r w:rsidR="00FE5D19">
            <w:rPr>
              <w:rFonts w:asciiTheme="majorHAnsi" w:hAnsiTheme="majorHAnsi" w:cstheme="majorHAnsi"/>
            </w:rPr>
            <w:instrText xml:space="preserve"> CITATION Gil08 \l 1033 </w:instrText>
          </w:r>
          <w:r w:rsidR="00FE5D19">
            <w:rPr>
              <w:rFonts w:asciiTheme="majorHAnsi" w:hAnsiTheme="majorHAnsi" w:cstheme="majorHAnsi"/>
            </w:rPr>
            <w:fldChar w:fldCharType="separate"/>
          </w:r>
          <w:r w:rsidR="00FE5D19" w:rsidRPr="00FE5D19">
            <w:rPr>
              <w:rFonts w:asciiTheme="majorHAnsi" w:hAnsiTheme="majorHAnsi" w:cstheme="majorHAnsi"/>
              <w:noProof/>
            </w:rPr>
            <w:t>[25]</w:t>
          </w:r>
          <w:r w:rsidR="00FE5D19">
            <w:rPr>
              <w:rFonts w:asciiTheme="majorHAnsi" w:hAnsiTheme="majorHAnsi" w:cstheme="majorHAnsi"/>
            </w:rPr>
            <w:fldChar w:fldCharType="end"/>
          </w:r>
        </w:sdtContent>
      </w:sdt>
      <w:r w:rsidRPr="00515CF0">
        <w:rPr>
          <w:rFonts w:asciiTheme="majorHAnsi" w:hAnsiTheme="majorHAnsi" w:cstheme="majorHAnsi"/>
        </w:rPr>
        <w:t xml:space="preserve">matters a lot </w:t>
      </w:r>
      <w:r w:rsidR="00894BAD">
        <w:rPr>
          <w:rFonts w:asciiTheme="majorHAnsi" w:hAnsiTheme="majorHAnsi" w:cstheme="majorHAnsi"/>
        </w:rPr>
        <w:t xml:space="preserve">for </w:t>
      </w:r>
      <w:r w:rsidRPr="00515CF0">
        <w:rPr>
          <w:rFonts w:asciiTheme="majorHAnsi" w:hAnsiTheme="majorHAnsi" w:cstheme="majorHAnsi"/>
        </w:rPr>
        <w:t xml:space="preserve">the </w:t>
      </w:r>
      <w:r w:rsidR="00894BAD">
        <w:rPr>
          <w:rFonts w:asciiTheme="majorHAnsi" w:hAnsiTheme="majorHAnsi" w:cstheme="majorHAnsi"/>
        </w:rPr>
        <w:t>policy</w:t>
      </w:r>
      <w:r w:rsidRPr="00515CF0">
        <w:rPr>
          <w:rFonts w:asciiTheme="majorHAnsi" w:hAnsiTheme="majorHAnsi" w:cstheme="majorHAnsi"/>
        </w:rPr>
        <w:t xml:space="preserve"> process and needs to be examined carefully. The contextual factors can be political, economic and social. Theoretically, there are many ways of categorizing contextual factors. In this study, we will include the global context,</w:t>
      </w:r>
      <w:r w:rsidR="00420013">
        <w:rPr>
          <w:rFonts w:asciiTheme="majorHAnsi" w:hAnsiTheme="majorHAnsi" w:cstheme="majorHAnsi"/>
        </w:rPr>
        <w:t xml:space="preserve"> </w:t>
      </w:r>
      <w:r w:rsidR="00B50B83">
        <w:rPr>
          <w:rFonts w:asciiTheme="majorHAnsi" w:hAnsiTheme="majorHAnsi" w:cstheme="majorHAnsi"/>
        </w:rPr>
        <w:t>t</w:t>
      </w:r>
      <w:r w:rsidRPr="00515CF0">
        <w:rPr>
          <w:rFonts w:asciiTheme="majorHAnsi" w:hAnsiTheme="majorHAnsi" w:cstheme="majorHAnsi"/>
        </w:rPr>
        <w:t xml:space="preserve">he national context outside the health sector and the national health sector context. </w:t>
      </w:r>
      <w:r w:rsidR="00894BAD">
        <w:rPr>
          <w:rFonts w:asciiTheme="majorHAnsi" w:hAnsiTheme="majorHAnsi" w:cstheme="majorHAnsi"/>
        </w:rPr>
        <w:t>The g</w:t>
      </w:r>
      <w:r w:rsidR="00B50B83">
        <w:rPr>
          <w:rFonts w:asciiTheme="majorHAnsi" w:hAnsiTheme="majorHAnsi" w:cstheme="majorHAnsi"/>
        </w:rPr>
        <w:t>lobal context is important as COVID-19 pandemic is a global phenomenon</w:t>
      </w:r>
      <w:r w:rsidR="00956B89">
        <w:rPr>
          <w:rFonts w:asciiTheme="majorHAnsi" w:hAnsiTheme="majorHAnsi" w:cstheme="majorHAnsi"/>
        </w:rPr>
        <w:t>.</w:t>
      </w:r>
      <w:r w:rsidR="00B50B83" w:rsidRPr="00515CF0">
        <w:rPr>
          <w:rFonts w:asciiTheme="majorHAnsi" w:hAnsiTheme="majorHAnsi" w:cstheme="majorHAnsi"/>
        </w:rPr>
        <w:t xml:space="preserve"> </w:t>
      </w:r>
      <w:r w:rsidRPr="00515CF0">
        <w:rPr>
          <w:rFonts w:asciiTheme="majorHAnsi" w:hAnsiTheme="majorHAnsi" w:cstheme="majorHAnsi"/>
        </w:rPr>
        <w:t xml:space="preserve">We will try to pinpoint any </w:t>
      </w:r>
      <w:r w:rsidR="00956B89">
        <w:rPr>
          <w:rFonts w:asciiTheme="majorHAnsi" w:hAnsiTheme="majorHAnsi" w:cstheme="majorHAnsi"/>
        </w:rPr>
        <w:t xml:space="preserve">global </w:t>
      </w:r>
      <w:r w:rsidRPr="00515CF0">
        <w:rPr>
          <w:rFonts w:asciiTheme="majorHAnsi" w:hAnsiTheme="majorHAnsi" w:cstheme="majorHAnsi"/>
        </w:rPr>
        <w:t xml:space="preserve">contextual element external to the country that may have had some influence on the </w:t>
      </w:r>
      <w:r w:rsidR="00956B89">
        <w:rPr>
          <w:rFonts w:asciiTheme="majorHAnsi" w:hAnsiTheme="majorHAnsi" w:cstheme="majorHAnsi"/>
        </w:rPr>
        <w:t>COVID-19 national response,</w:t>
      </w:r>
      <w:r w:rsidRPr="00515CF0">
        <w:rPr>
          <w:rFonts w:asciiTheme="majorHAnsi" w:hAnsiTheme="majorHAnsi" w:cstheme="majorHAnsi"/>
        </w:rPr>
        <w:t xml:space="preserve"> </w:t>
      </w:r>
      <w:r w:rsidR="00956B89">
        <w:rPr>
          <w:rFonts w:asciiTheme="majorHAnsi" w:hAnsiTheme="majorHAnsi" w:cstheme="majorHAnsi"/>
        </w:rPr>
        <w:t>s</w:t>
      </w:r>
      <w:r w:rsidRPr="00515CF0">
        <w:rPr>
          <w:rFonts w:asciiTheme="majorHAnsi" w:hAnsiTheme="majorHAnsi" w:cstheme="majorHAnsi"/>
        </w:rPr>
        <w:t xml:space="preserve">uch as the </w:t>
      </w:r>
      <w:r w:rsidR="00CE5021">
        <w:rPr>
          <w:rFonts w:asciiTheme="majorHAnsi" w:hAnsiTheme="majorHAnsi" w:cstheme="majorHAnsi"/>
        </w:rPr>
        <w:t xml:space="preserve">WHO’s </w:t>
      </w:r>
      <w:r w:rsidR="006C60B0">
        <w:rPr>
          <w:rFonts w:asciiTheme="majorHAnsi" w:hAnsiTheme="majorHAnsi" w:cstheme="majorHAnsi"/>
        </w:rPr>
        <w:t xml:space="preserve">International Health Regulations, </w:t>
      </w:r>
      <w:r w:rsidR="00CE5021">
        <w:rPr>
          <w:rFonts w:asciiTheme="majorHAnsi" w:hAnsiTheme="majorHAnsi" w:cstheme="majorHAnsi"/>
        </w:rPr>
        <w:t xml:space="preserve">GHSA, </w:t>
      </w:r>
      <w:r w:rsidRPr="00515CF0">
        <w:rPr>
          <w:rFonts w:asciiTheme="majorHAnsi" w:hAnsiTheme="majorHAnsi" w:cstheme="majorHAnsi"/>
        </w:rPr>
        <w:t>the Universal Health Coverage Agenda, and the</w:t>
      </w:r>
      <w:r w:rsidR="00CE5021">
        <w:rPr>
          <w:rFonts w:asciiTheme="majorHAnsi" w:hAnsiTheme="majorHAnsi" w:cstheme="majorHAnsi"/>
        </w:rPr>
        <w:t xml:space="preserve"> international partner’s</w:t>
      </w:r>
      <w:r w:rsidRPr="00515CF0">
        <w:rPr>
          <w:rFonts w:asciiTheme="majorHAnsi" w:hAnsiTheme="majorHAnsi" w:cstheme="majorHAnsi"/>
        </w:rPr>
        <w:t xml:space="preserve"> support </w:t>
      </w:r>
      <w:r w:rsidR="00CE5021">
        <w:rPr>
          <w:rFonts w:asciiTheme="majorHAnsi" w:hAnsiTheme="majorHAnsi" w:cstheme="majorHAnsi"/>
        </w:rPr>
        <w:t>to the country response and mitigation measures</w:t>
      </w:r>
      <w:r w:rsidRPr="00515CF0">
        <w:rPr>
          <w:rFonts w:asciiTheme="majorHAnsi" w:hAnsiTheme="majorHAnsi" w:cstheme="majorHAnsi"/>
        </w:rPr>
        <w:t>. At the national level outside the health sector, we will look at macro-economic</w:t>
      </w:r>
      <w:r w:rsidR="00CE5021">
        <w:rPr>
          <w:rFonts w:asciiTheme="majorHAnsi" w:hAnsiTheme="majorHAnsi" w:cstheme="majorHAnsi"/>
        </w:rPr>
        <w:t xml:space="preserve"> and governance factors</w:t>
      </w:r>
      <w:r w:rsidRPr="00515CF0">
        <w:rPr>
          <w:rFonts w:asciiTheme="majorHAnsi" w:hAnsiTheme="majorHAnsi" w:cstheme="majorHAnsi"/>
        </w:rPr>
        <w:t xml:space="preserve">. </w:t>
      </w:r>
    </w:p>
    <w:p w14:paraId="29647640" w14:textId="2987760D" w:rsidR="00672E2C" w:rsidRPr="00515CF0" w:rsidRDefault="00646A89" w:rsidP="00F16257">
      <w:pPr>
        <w:autoSpaceDE w:val="0"/>
        <w:autoSpaceDN w:val="0"/>
        <w:adjustRightInd w:val="0"/>
        <w:jc w:val="both"/>
        <w:rPr>
          <w:rFonts w:asciiTheme="majorHAnsi" w:hAnsiTheme="majorHAnsi" w:cstheme="majorHAnsi"/>
        </w:rPr>
      </w:pPr>
      <w:r>
        <w:t xml:space="preserve">An effective health system response in public health emergencies depends on a system’s </w:t>
      </w:r>
      <w:r>
        <w:rPr>
          <w:i/>
          <w:iCs/>
        </w:rPr>
        <w:t>readiness</w:t>
      </w:r>
      <w:r>
        <w:t xml:space="preserve"> for a specific disaster (pandemic in this case), and </w:t>
      </w:r>
      <w:r w:rsidRPr="003B717F">
        <w:rPr>
          <w:i/>
          <w:iCs/>
        </w:rPr>
        <w:t>resilience</w:t>
      </w:r>
      <w:r>
        <w:t xml:space="preserve"> to adapt and withstand shocks. </w:t>
      </w:r>
      <w:r w:rsidR="00C6258E" w:rsidRPr="00515CF0">
        <w:rPr>
          <w:rFonts w:asciiTheme="majorHAnsi" w:hAnsiTheme="majorHAnsi" w:cstheme="majorHAnsi"/>
        </w:rPr>
        <w:t>At the health sector level</w:t>
      </w:r>
      <w:r w:rsidR="00252A9B">
        <w:rPr>
          <w:rFonts w:asciiTheme="majorHAnsi" w:hAnsiTheme="majorHAnsi" w:cstheme="majorHAnsi"/>
        </w:rPr>
        <w:t>,</w:t>
      </w:r>
      <w:r w:rsidR="00C6258E">
        <w:t xml:space="preserve"> to assess the</w:t>
      </w:r>
      <w:r>
        <w:t xml:space="preserve"> </w:t>
      </w:r>
      <w:r>
        <w:rPr>
          <w:i/>
          <w:iCs/>
        </w:rPr>
        <w:t xml:space="preserve">readiness </w:t>
      </w:r>
      <w:r>
        <w:t xml:space="preserve">for COVID-19, we look at two key factors: preparedness and response plans and core capabilities to detect and respond to outbreaks. According to Handfield et al., </w:t>
      </w:r>
      <w:r w:rsidRPr="003F2489">
        <w:rPr>
          <w:i/>
          <w:iCs/>
        </w:rPr>
        <w:t>resilience</w:t>
      </w:r>
      <w:r>
        <w:t xml:space="preserve"> depends on t</w:t>
      </w:r>
      <w:r w:rsidRPr="00FF1B27">
        <w:t xml:space="preserve">hree core dimensions corresponding to three health systems functions: </w:t>
      </w:r>
      <w:r>
        <w:t>“</w:t>
      </w:r>
      <w:r w:rsidRPr="00FF1B27">
        <w:t>health information systems</w:t>
      </w:r>
      <w:r>
        <w:t>”</w:t>
      </w:r>
      <w:r w:rsidRPr="00FF1B27">
        <w:t xml:space="preserve"> (having the information and the knowledge to make a decision on what needs to be done); </w:t>
      </w:r>
      <w:r>
        <w:t>“</w:t>
      </w:r>
      <w:r w:rsidRPr="00FF1B27">
        <w:t>funding/financing mechanisms</w:t>
      </w:r>
      <w:r>
        <w:t>”</w:t>
      </w:r>
      <w:r w:rsidRPr="00FF1B27">
        <w:t xml:space="preserve"> (investing or mobili</w:t>
      </w:r>
      <w:r>
        <w:t>z</w:t>
      </w:r>
      <w:r w:rsidRPr="00FF1B27">
        <w:t xml:space="preserve">ing resources to fund a response); and </w:t>
      </w:r>
      <w:r>
        <w:t>“</w:t>
      </w:r>
      <w:r w:rsidRPr="00FF1B27">
        <w:t xml:space="preserve">health workforce’ (who should plan and implement it and how). These intersect with two cross-cutting aspects: </w:t>
      </w:r>
      <w:r>
        <w:t>“</w:t>
      </w:r>
      <w:r w:rsidRPr="00FF1B27">
        <w:t>governance</w:t>
      </w:r>
      <w:r>
        <w:t>,”</w:t>
      </w:r>
      <w:r w:rsidRPr="00FF1B27">
        <w:t xml:space="preserve"> as a fundamental function affecting all other system dimensions</w:t>
      </w:r>
      <w:r>
        <w:t>,</w:t>
      </w:r>
      <w:r w:rsidRPr="00FF1B27">
        <w:t xml:space="preserve"> and predominant </w:t>
      </w:r>
      <w:r>
        <w:t>“</w:t>
      </w:r>
      <w:r w:rsidRPr="00FF1B27">
        <w:t>values</w:t>
      </w:r>
      <w:r>
        <w:t>”</w:t>
      </w:r>
      <w:r w:rsidRPr="00FF1B27">
        <w:t xml:space="preserve"> shaping the response and how it is experienced at individual and community levels</w:t>
      </w:r>
      <w:r w:rsidR="00F157FB">
        <w:t>.</w:t>
      </w:r>
      <w:r w:rsidR="00BD2CCB">
        <w:t xml:space="preserve"> </w:t>
      </w:r>
      <w:sdt>
        <w:sdtPr>
          <w:id w:val="1449505264"/>
          <w:citation/>
        </w:sdtPr>
        <w:sdtEndPr/>
        <w:sdtContent>
          <w:r w:rsidR="00BD2CCB">
            <w:fldChar w:fldCharType="begin"/>
          </w:r>
          <w:r w:rsidR="00BD2CCB">
            <w:instrText xml:space="preserve"> CITATION Han18 \l 1033 </w:instrText>
          </w:r>
          <w:r w:rsidR="00BD2CCB">
            <w:fldChar w:fldCharType="separate"/>
          </w:r>
          <w:r w:rsidR="00BD2CCB" w:rsidRPr="00BD2CCB">
            <w:rPr>
              <w:noProof/>
            </w:rPr>
            <w:t>[26]</w:t>
          </w:r>
          <w:r w:rsidR="00BD2CCB">
            <w:fldChar w:fldCharType="end"/>
          </w:r>
        </w:sdtContent>
      </w:sdt>
      <w:r>
        <w:t xml:space="preserve"> The three dimensions of resilience are also part of the health system preparedness and response capabilities: health information systems, adequate financial resources/funding, and health </w:t>
      </w:r>
      <w:r>
        <w:lastRenderedPageBreak/>
        <w:t xml:space="preserve">workforce, along with the </w:t>
      </w:r>
      <w:r w:rsidRPr="002629B9">
        <w:rPr>
          <w:i/>
          <w:iCs/>
        </w:rPr>
        <w:t>surge capacity</w:t>
      </w:r>
      <w:r>
        <w:t xml:space="preserve"> (health care infrastructure and equipment) required to accommodate the increased patient workload during the outbreak.</w:t>
      </w:r>
      <w:r w:rsidR="00E84123" w:rsidRPr="00515CF0">
        <w:rPr>
          <w:rFonts w:asciiTheme="majorHAnsi" w:hAnsiTheme="majorHAnsi" w:cstheme="majorHAnsi"/>
        </w:rPr>
        <w:t xml:space="preserve"> </w:t>
      </w:r>
      <w:r w:rsidR="00622DDD">
        <w:rPr>
          <w:rFonts w:asciiTheme="majorHAnsi" w:hAnsiTheme="majorHAnsi" w:cstheme="majorHAnsi"/>
        </w:rPr>
        <w:t xml:space="preserve">We will examine all </w:t>
      </w:r>
      <w:r w:rsidR="009C1420">
        <w:rPr>
          <w:rFonts w:asciiTheme="majorHAnsi" w:hAnsiTheme="majorHAnsi" w:cstheme="majorHAnsi"/>
        </w:rPr>
        <w:t>th</w:t>
      </w:r>
      <w:r w:rsidR="00F412F0">
        <w:rPr>
          <w:rFonts w:asciiTheme="majorHAnsi" w:hAnsiTheme="majorHAnsi" w:cstheme="majorHAnsi"/>
        </w:rPr>
        <w:t xml:space="preserve">ese dimensions and capabilities to determine </w:t>
      </w:r>
      <w:r w:rsidR="001D4EA9">
        <w:rPr>
          <w:rFonts w:asciiTheme="majorHAnsi" w:hAnsiTheme="majorHAnsi" w:cstheme="majorHAnsi"/>
        </w:rPr>
        <w:t xml:space="preserve">if they have served as enabling or hindering </w:t>
      </w:r>
      <w:r w:rsidR="00F412F0">
        <w:rPr>
          <w:rFonts w:asciiTheme="majorHAnsi" w:hAnsiTheme="majorHAnsi" w:cstheme="majorHAnsi"/>
        </w:rPr>
        <w:t>factors influencing the success or failure of any of the national re</w:t>
      </w:r>
      <w:r w:rsidR="001D4EA9">
        <w:rPr>
          <w:rFonts w:asciiTheme="majorHAnsi" w:hAnsiTheme="majorHAnsi" w:cstheme="majorHAnsi"/>
        </w:rPr>
        <w:t>s</w:t>
      </w:r>
      <w:r w:rsidR="00F412F0">
        <w:rPr>
          <w:rFonts w:asciiTheme="majorHAnsi" w:hAnsiTheme="majorHAnsi" w:cstheme="majorHAnsi"/>
        </w:rPr>
        <w:t xml:space="preserve">ponse components. </w:t>
      </w:r>
    </w:p>
    <w:p w14:paraId="0E19414E" w14:textId="77777777" w:rsidR="00F82954" w:rsidRPr="00515CF0" w:rsidRDefault="00F82954" w:rsidP="00F16257">
      <w:pPr>
        <w:pStyle w:val="Heading4"/>
        <w:ind w:right="0"/>
        <w:rPr>
          <w:rFonts w:asciiTheme="majorHAnsi" w:hAnsiTheme="majorHAnsi" w:cstheme="majorHAnsi"/>
        </w:rPr>
      </w:pPr>
      <w:r w:rsidRPr="00515CF0">
        <w:rPr>
          <w:rFonts w:asciiTheme="majorHAnsi" w:hAnsiTheme="majorHAnsi" w:cstheme="majorHAnsi"/>
        </w:rPr>
        <w:t>Data Collection</w:t>
      </w:r>
    </w:p>
    <w:p w14:paraId="79EB0ED2" w14:textId="6507ED3D" w:rsidR="00820401" w:rsidRPr="00515CF0" w:rsidRDefault="00BC398A" w:rsidP="00F16257">
      <w:pPr>
        <w:widowControl w:val="0"/>
        <w:spacing w:before="220"/>
        <w:jc w:val="both"/>
        <w:rPr>
          <w:rFonts w:asciiTheme="majorHAnsi" w:hAnsiTheme="majorHAnsi" w:cstheme="majorHAnsi"/>
        </w:rPr>
      </w:pPr>
      <w:r>
        <w:rPr>
          <w:rFonts w:asciiTheme="majorHAnsi" w:hAnsiTheme="majorHAnsi" w:cstheme="majorHAnsi"/>
        </w:rPr>
        <w:t xml:space="preserve">Mostly </w:t>
      </w:r>
      <w:r w:rsidR="00672E2C" w:rsidRPr="00515CF0">
        <w:rPr>
          <w:rFonts w:asciiTheme="majorHAnsi" w:hAnsiTheme="majorHAnsi" w:cstheme="majorHAnsi"/>
        </w:rPr>
        <w:t xml:space="preserve">qualitative research methods will be used to achieve </w:t>
      </w:r>
      <w:r w:rsidR="00252A9B">
        <w:rPr>
          <w:rFonts w:asciiTheme="majorHAnsi" w:hAnsiTheme="majorHAnsi" w:cstheme="majorHAnsi"/>
        </w:rPr>
        <w:t xml:space="preserve">a </w:t>
      </w:r>
      <w:r w:rsidR="00672E2C" w:rsidRPr="00515CF0">
        <w:rPr>
          <w:rFonts w:asciiTheme="majorHAnsi" w:hAnsiTheme="majorHAnsi" w:cstheme="majorHAnsi"/>
        </w:rPr>
        <w:t xml:space="preserve">holistic understanding of the phenomenon that will be studied. The methods include </w:t>
      </w:r>
      <w:r w:rsidR="00AB2553">
        <w:rPr>
          <w:rFonts w:asciiTheme="majorHAnsi" w:hAnsiTheme="majorHAnsi" w:cstheme="majorHAnsi"/>
        </w:rPr>
        <w:t xml:space="preserve">literature and </w:t>
      </w:r>
      <w:r w:rsidR="00672E2C" w:rsidRPr="00515CF0">
        <w:rPr>
          <w:rFonts w:asciiTheme="majorHAnsi" w:hAnsiTheme="majorHAnsi" w:cstheme="majorHAnsi"/>
        </w:rPr>
        <w:t>document review</w:t>
      </w:r>
      <w:r w:rsidR="00DB4A79">
        <w:rPr>
          <w:rFonts w:asciiTheme="majorHAnsi" w:hAnsiTheme="majorHAnsi" w:cstheme="majorHAnsi"/>
        </w:rPr>
        <w:t xml:space="preserve"> and</w:t>
      </w:r>
      <w:r w:rsidR="00672E2C" w:rsidRPr="00515CF0">
        <w:rPr>
          <w:rFonts w:asciiTheme="majorHAnsi" w:hAnsiTheme="majorHAnsi" w:cstheme="majorHAnsi"/>
        </w:rPr>
        <w:t xml:space="preserve"> in-depth interviews with key informants, policymakers</w:t>
      </w:r>
      <w:r w:rsidR="00DB4A79">
        <w:rPr>
          <w:rFonts w:asciiTheme="majorHAnsi" w:hAnsiTheme="majorHAnsi" w:cstheme="majorHAnsi"/>
        </w:rPr>
        <w:t xml:space="preserve"> from the Ministry and subordinated </w:t>
      </w:r>
      <w:r w:rsidR="00E71172">
        <w:rPr>
          <w:rFonts w:asciiTheme="majorHAnsi" w:hAnsiTheme="majorHAnsi" w:cstheme="majorHAnsi"/>
        </w:rPr>
        <w:t>structures</w:t>
      </w:r>
      <w:r w:rsidR="00DB4A79">
        <w:rPr>
          <w:rFonts w:asciiTheme="majorHAnsi" w:hAnsiTheme="majorHAnsi" w:cstheme="majorHAnsi"/>
        </w:rPr>
        <w:t>, as well from other GoG agencies</w:t>
      </w:r>
      <w:r w:rsidR="00E71172">
        <w:rPr>
          <w:rFonts w:asciiTheme="majorHAnsi" w:hAnsiTheme="majorHAnsi" w:cstheme="majorHAnsi"/>
        </w:rPr>
        <w:t>, representatives from the international organizations supporting the national response efforts (for example WHO and the World Bank) and</w:t>
      </w:r>
      <w:r w:rsidR="00672E2C" w:rsidRPr="00515CF0">
        <w:rPr>
          <w:rFonts w:asciiTheme="majorHAnsi" w:hAnsiTheme="majorHAnsi" w:cstheme="majorHAnsi"/>
        </w:rPr>
        <w:t xml:space="preserve"> technical </w:t>
      </w:r>
      <w:r w:rsidR="00DB4A79">
        <w:rPr>
          <w:rFonts w:asciiTheme="majorHAnsi" w:hAnsiTheme="majorHAnsi" w:cstheme="majorHAnsi"/>
        </w:rPr>
        <w:t xml:space="preserve">and clinical </w:t>
      </w:r>
      <w:r w:rsidR="00672E2C" w:rsidRPr="00515CF0">
        <w:rPr>
          <w:rFonts w:asciiTheme="majorHAnsi" w:hAnsiTheme="majorHAnsi" w:cstheme="majorHAnsi"/>
        </w:rPr>
        <w:t>experts</w:t>
      </w:r>
      <w:r w:rsidR="00E71172">
        <w:rPr>
          <w:rFonts w:asciiTheme="majorHAnsi" w:hAnsiTheme="majorHAnsi" w:cstheme="majorHAnsi"/>
        </w:rPr>
        <w:t>.</w:t>
      </w:r>
      <w:r w:rsidR="00672E2C" w:rsidRPr="00515CF0">
        <w:rPr>
          <w:rFonts w:asciiTheme="majorHAnsi" w:hAnsiTheme="majorHAnsi" w:cstheme="majorHAnsi"/>
        </w:rPr>
        <w:t xml:space="preserve"> </w:t>
      </w:r>
      <w:r w:rsidR="00D96CD4" w:rsidRPr="00515CF0">
        <w:rPr>
          <w:rFonts w:asciiTheme="majorHAnsi" w:hAnsiTheme="majorHAnsi" w:cstheme="majorHAnsi"/>
        </w:rPr>
        <w:t>We will also obtain some statistical data from the</w:t>
      </w:r>
      <w:r w:rsidR="00F2660A">
        <w:rPr>
          <w:rFonts w:asciiTheme="majorHAnsi" w:hAnsiTheme="majorHAnsi" w:cstheme="majorHAnsi"/>
        </w:rPr>
        <w:t xml:space="preserve"> GoG and the Ministry</w:t>
      </w:r>
      <w:r w:rsidR="00D96CD4" w:rsidRPr="00515CF0">
        <w:rPr>
          <w:rFonts w:asciiTheme="majorHAnsi" w:hAnsiTheme="majorHAnsi" w:cstheme="majorHAnsi"/>
        </w:rPr>
        <w:t xml:space="preserve"> </w:t>
      </w:r>
      <w:r w:rsidR="00FD1C5A">
        <w:rPr>
          <w:rFonts w:asciiTheme="majorHAnsi" w:hAnsiTheme="majorHAnsi" w:cstheme="majorHAnsi"/>
        </w:rPr>
        <w:t>characterizing the COVID-19 outbrea</w:t>
      </w:r>
      <w:r w:rsidR="00AB2553">
        <w:rPr>
          <w:rFonts w:asciiTheme="majorHAnsi" w:hAnsiTheme="majorHAnsi" w:cstheme="majorHAnsi"/>
        </w:rPr>
        <w:t>k and response measures</w:t>
      </w:r>
      <w:r w:rsidR="00D96CD4" w:rsidRPr="00515CF0">
        <w:rPr>
          <w:rFonts w:asciiTheme="majorHAnsi" w:hAnsiTheme="majorHAnsi" w:cstheme="majorHAnsi"/>
        </w:rPr>
        <w:t xml:space="preserve">. </w:t>
      </w:r>
      <w:r w:rsidR="00820401" w:rsidRPr="00515CF0">
        <w:rPr>
          <w:rFonts w:asciiTheme="majorHAnsi" w:hAnsiTheme="majorHAnsi" w:cstheme="majorHAnsi"/>
        </w:rPr>
        <w:t xml:space="preserve">Short description of the data collection methods proposed in the study </w:t>
      </w:r>
      <w:r w:rsidR="007D5777" w:rsidRPr="00515CF0">
        <w:rPr>
          <w:rFonts w:asciiTheme="majorHAnsi" w:hAnsiTheme="majorHAnsi" w:cstheme="majorHAnsi"/>
        </w:rPr>
        <w:t>is</w:t>
      </w:r>
      <w:r w:rsidR="00820401" w:rsidRPr="00515CF0">
        <w:rPr>
          <w:rFonts w:asciiTheme="majorHAnsi" w:hAnsiTheme="majorHAnsi" w:cstheme="majorHAnsi"/>
        </w:rPr>
        <w:t xml:space="preserve"> presented in the table below:</w:t>
      </w:r>
    </w:p>
    <w:p w14:paraId="49A4850D" w14:textId="77777777" w:rsidR="00820401" w:rsidRPr="00515CF0" w:rsidRDefault="00820401" w:rsidP="00F16257">
      <w:pPr>
        <w:jc w:val="both"/>
        <w:rPr>
          <w:rFonts w:asciiTheme="majorHAnsi" w:hAnsiTheme="majorHAnsi" w:cstheme="majorHAnsi"/>
        </w:rPr>
      </w:pPr>
      <w:r w:rsidRPr="00515CF0">
        <w:rPr>
          <w:rFonts w:asciiTheme="majorHAnsi" w:hAnsiTheme="majorHAnsi" w:cstheme="majorHAnsi"/>
        </w:rPr>
        <w:t xml:space="preserve"> </w:t>
      </w:r>
    </w:p>
    <w:tbl>
      <w:tblPr>
        <w:tblW w:w="0" w:type="auto"/>
        <w:tblBorders>
          <w:top w:val="single" w:sz="12" w:space="0" w:color="000000"/>
          <w:bottom w:val="single" w:sz="12" w:space="0" w:color="000000"/>
        </w:tblBorders>
        <w:tblLook w:val="04A0" w:firstRow="1" w:lastRow="0" w:firstColumn="1" w:lastColumn="0" w:noHBand="0" w:noVBand="1"/>
      </w:tblPr>
      <w:tblGrid>
        <w:gridCol w:w="4063"/>
        <w:gridCol w:w="5024"/>
      </w:tblGrid>
      <w:tr w:rsidR="00820401" w:rsidRPr="00515CF0" w14:paraId="7E476466" w14:textId="77777777" w:rsidTr="008577A2">
        <w:tc>
          <w:tcPr>
            <w:tcW w:w="4063" w:type="dxa"/>
            <w:tcBorders>
              <w:bottom w:val="single" w:sz="6" w:space="0" w:color="000000"/>
              <w:right w:val="single" w:sz="6" w:space="0" w:color="000000"/>
            </w:tcBorders>
            <w:shd w:val="clear" w:color="auto" w:fill="auto"/>
          </w:tcPr>
          <w:p w14:paraId="479119D1" w14:textId="77777777" w:rsidR="00820401" w:rsidRPr="00515CF0" w:rsidRDefault="00820401" w:rsidP="00F16257">
            <w:pPr>
              <w:spacing w:after="200"/>
              <w:jc w:val="both"/>
              <w:rPr>
                <w:rFonts w:asciiTheme="majorHAnsi" w:hAnsiTheme="majorHAnsi" w:cstheme="majorHAnsi"/>
                <w:i/>
                <w:iCs/>
                <w:szCs w:val="22"/>
              </w:rPr>
            </w:pPr>
            <w:r w:rsidRPr="00515CF0">
              <w:rPr>
                <w:rFonts w:asciiTheme="majorHAnsi" w:hAnsiTheme="majorHAnsi" w:cstheme="majorHAnsi"/>
                <w:i/>
                <w:iCs/>
                <w:szCs w:val="22"/>
              </w:rPr>
              <w:t xml:space="preserve">Data Sources </w:t>
            </w:r>
          </w:p>
        </w:tc>
        <w:tc>
          <w:tcPr>
            <w:tcW w:w="5024" w:type="dxa"/>
            <w:tcBorders>
              <w:bottom w:val="single" w:sz="6" w:space="0" w:color="000000"/>
            </w:tcBorders>
            <w:shd w:val="clear" w:color="auto" w:fill="auto"/>
          </w:tcPr>
          <w:p w14:paraId="24983574" w14:textId="77777777" w:rsidR="00820401" w:rsidRPr="00515CF0" w:rsidRDefault="00820401" w:rsidP="00F16257">
            <w:pPr>
              <w:spacing w:after="200"/>
              <w:jc w:val="both"/>
              <w:rPr>
                <w:rFonts w:asciiTheme="majorHAnsi" w:hAnsiTheme="majorHAnsi" w:cstheme="majorHAnsi"/>
                <w:i/>
                <w:iCs/>
                <w:szCs w:val="22"/>
              </w:rPr>
            </w:pPr>
            <w:r w:rsidRPr="00515CF0">
              <w:rPr>
                <w:rFonts w:asciiTheme="majorHAnsi" w:hAnsiTheme="majorHAnsi" w:cstheme="majorHAnsi"/>
                <w:i/>
                <w:iCs/>
                <w:szCs w:val="22"/>
              </w:rPr>
              <w:t>Description</w:t>
            </w:r>
          </w:p>
        </w:tc>
      </w:tr>
      <w:tr w:rsidR="00820401" w:rsidRPr="00515CF0" w14:paraId="3456C1BD" w14:textId="77777777" w:rsidTr="008577A2">
        <w:trPr>
          <w:trHeight w:val="1191"/>
        </w:trPr>
        <w:tc>
          <w:tcPr>
            <w:tcW w:w="4063" w:type="dxa"/>
            <w:tcBorders>
              <w:right w:val="single" w:sz="6" w:space="0" w:color="000000"/>
            </w:tcBorders>
            <w:shd w:val="clear" w:color="auto" w:fill="auto"/>
          </w:tcPr>
          <w:p w14:paraId="13E3A547" w14:textId="77777777" w:rsidR="00820401" w:rsidRPr="00515CF0" w:rsidRDefault="000E26F0" w:rsidP="00F16257">
            <w:pPr>
              <w:spacing w:after="200"/>
              <w:jc w:val="both"/>
              <w:rPr>
                <w:rFonts w:asciiTheme="majorHAnsi" w:hAnsiTheme="majorHAnsi" w:cstheme="majorHAnsi"/>
                <w:szCs w:val="22"/>
              </w:rPr>
            </w:pPr>
            <w:r w:rsidRPr="00515CF0">
              <w:rPr>
                <w:rFonts w:asciiTheme="majorHAnsi" w:hAnsiTheme="majorHAnsi" w:cstheme="majorHAnsi"/>
                <w:szCs w:val="22"/>
              </w:rPr>
              <w:t>Literature</w:t>
            </w:r>
            <w:r w:rsidR="00820401" w:rsidRPr="00515CF0">
              <w:rPr>
                <w:rFonts w:asciiTheme="majorHAnsi" w:hAnsiTheme="majorHAnsi" w:cstheme="majorHAnsi"/>
                <w:szCs w:val="22"/>
              </w:rPr>
              <w:t xml:space="preserve"> Review</w:t>
            </w:r>
          </w:p>
        </w:tc>
        <w:tc>
          <w:tcPr>
            <w:tcW w:w="5024" w:type="dxa"/>
            <w:shd w:val="clear" w:color="auto" w:fill="auto"/>
          </w:tcPr>
          <w:p w14:paraId="1F4850F6" w14:textId="2EA395AC" w:rsidR="00820401" w:rsidRPr="00515CF0" w:rsidRDefault="00B9745A" w:rsidP="00F16257">
            <w:pPr>
              <w:spacing w:after="200"/>
              <w:jc w:val="both"/>
              <w:rPr>
                <w:rFonts w:asciiTheme="majorHAnsi" w:hAnsiTheme="majorHAnsi" w:cstheme="majorHAnsi"/>
                <w:szCs w:val="22"/>
              </w:rPr>
            </w:pPr>
            <w:r w:rsidRPr="00515CF0">
              <w:rPr>
                <w:rFonts w:asciiTheme="majorHAnsi" w:hAnsiTheme="majorHAnsi" w:cstheme="majorHAnsi"/>
                <w:szCs w:val="22"/>
              </w:rPr>
              <w:t xml:space="preserve">International </w:t>
            </w:r>
            <w:r w:rsidR="000E26F0" w:rsidRPr="00515CF0">
              <w:rPr>
                <w:rFonts w:asciiTheme="majorHAnsi" w:hAnsiTheme="majorHAnsi" w:cstheme="majorHAnsi"/>
                <w:szCs w:val="22"/>
              </w:rPr>
              <w:t xml:space="preserve">peer-reviewed </w:t>
            </w:r>
            <w:r w:rsidRPr="00515CF0">
              <w:rPr>
                <w:rFonts w:asciiTheme="majorHAnsi" w:hAnsiTheme="majorHAnsi" w:cstheme="majorHAnsi"/>
                <w:szCs w:val="22"/>
              </w:rPr>
              <w:t>literatur</w:t>
            </w:r>
            <w:r w:rsidR="00C14318">
              <w:rPr>
                <w:rFonts w:asciiTheme="majorHAnsi" w:hAnsiTheme="majorHAnsi" w:cstheme="majorHAnsi"/>
                <w:szCs w:val="22"/>
              </w:rPr>
              <w:t xml:space="preserve">e on COVID-19 </w:t>
            </w:r>
            <w:r w:rsidR="00C2487E">
              <w:rPr>
                <w:rFonts w:asciiTheme="majorHAnsi" w:hAnsiTheme="majorHAnsi" w:cstheme="majorHAnsi"/>
                <w:szCs w:val="22"/>
              </w:rPr>
              <w:t xml:space="preserve">global response, </w:t>
            </w:r>
            <w:r w:rsidR="000E26F0" w:rsidRPr="00515CF0">
              <w:rPr>
                <w:rFonts w:asciiTheme="majorHAnsi" w:hAnsiTheme="majorHAnsi" w:cstheme="majorHAnsi"/>
                <w:szCs w:val="22"/>
              </w:rPr>
              <w:t xml:space="preserve">relevant </w:t>
            </w:r>
            <w:r w:rsidRPr="00515CF0">
              <w:rPr>
                <w:rFonts w:asciiTheme="majorHAnsi" w:hAnsiTheme="majorHAnsi" w:cstheme="majorHAnsi"/>
                <w:szCs w:val="22"/>
              </w:rPr>
              <w:t>regulations,</w:t>
            </w:r>
            <w:r w:rsidR="00CF6BE6">
              <w:rPr>
                <w:rFonts w:asciiTheme="majorHAnsi" w:hAnsiTheme="majorHAnsi" w:cstheme="majorHAnsi"/>
                <w:szCs w:val="22"/>
              </w:rPr>
              <w:t xml:space="preserve"> the</w:t>
            </w:r>
            <w:r w:rsidRPr="00515CF0">
              <w:rPr>
                <w:rFonts w:asciiTheme="majorHAnsi" w:hAnsiTheme="majorHAnsi" w:cstheme="majorHAnsi"/>
                <w:szCs w:val="22"/>
              </w:rPr>
              <w:t xml:space="preserve"> </w:t>
            </w:r>
            <w:r w:rsidR="009B486C">
              <w:rPr>
                <w:rFonts w:asciiTheme="majorHAnsi" w:hAnsiTheme="majorHAnsi" w:cstheme="majorHAnsi"/>
                <w:szCs w:val="22"/>
              </w:rPr>
              <w:t xml:space="preserve">Presidential and </w:t>
            </w:r>
            <w:r w:rsidRPr="00515CF0">
              <w:rPr>
                <w:rFonts w:asciiTheme="majorHAnsi" w:hAnsiTheme="majorHAnsi" w:cstheme="majorHAnsi"/>
                <w:szCs w:val="22"/>
              </w:rPr>
              <w:t xml:space="preserve">ministerial decrees, </w:t>
            </w:r>
            <w:r w:rsidR="000E26F0" w:rsidRPr="00515CF0">
              <w:rPr>
                <w:rFonts w:asciiTheme="majorHAnsi" w:hAnsiTheme="majorHAnsi" w:cstheme="majorHAnsi"/>
                <w:szCs w:val="22"/>
              </w:rPr>
              <w:t>instructions</w:t>
            </w:r>
            <w:r w:rsidR="00FC0EC6">
              <w:rPr>
                <w:rFonts w:asciiTheme="majorHAnsi" w:hAnsiTheme="majorHAnsi" w:cstheme="majorHAnsi"/>
                <w:szCs w:val="22"/>
              </w:rPr>
              <w:t>,</w:t>
            </w:r>
            <w:r w:rsidR="00C2487E">
              <w:rPr>
                <w:rFonts w:asciiTheme="majorHAnsi" w:hAnsiTheme="majorHAnsi" w:cstheme="majorHAnsi"/>
                <w:szCs w:val="22"/>
              </w:rPr>
              <w:t xml:space="preserve"> recommendations </w:t>
            </w:r>
            <w:r w:rsidR="00FC0EC6">
              <w:rPr>
                <w:rFonts w:asciiTheme="majorHAnsi" w:hAnsiTheme="majorHAnsi" w:cstheme="majorHAnsi"/>
                <w:szCs w:val="22"/>
              </w:rPr>
              <w:t xml:space="preserve">and reports </w:t>
            </w:r>
            <w:r w:rsidR="00C2487E">
              <w:rPr>
                <w:rFonts w:asciiTheme="majorHAnsi" w:hAnsiTheme="majorHAnsi" w:cstheme="majorHAnsi"/>
                <w:szCs w:val="22"/>
              </w:rPr>
              <w:t>issue</w:t>
            </w:r>
            <w:r w:rsidR="00FC0EC6">
              <w:rPr>
                <w:rFonts w:asciiTheme="majorHAnsi" w:hAnsiTheme="majorHAnsi" w:cstheme="majorHAnsi"/>
                <w:szCs w:val="22"/>
              </w:rPr>
              <w:t>d</w:t>
            </w:r>
            <w:r w:rsidR="00C2487E">
              <w:rPr>
                <w:rFonts w:asciiTheme="majorHAnsi" w:hAnsiTheme="majorHAnsi" w:cstheme="majorHAnsi"/>
                <w:szCs w:val="22"/>
              </w:rPr>
              <w:t xml:space="preserve"> by the GoG, ICC, Ministry, NCDC </w:t>
            </w:r>
            <w:r w:rsidRPr="00515CF0">
              <w:rPr>
                <w:rFonts w:asciiTheme="majorHAnsi" w:hAnsiTheme="majorHAnsi" w:cstheme="majorHAnsi"/>
                <w:szCs w:val="22"/>
              </w:rPr>
              <w:t xml:space="preserve">concerning the </w:t>
            </w:r>
            <w:r w:rsidR="00CF6BE6">
              <w:rPr>
                <w:rFonts w:asciiTheme="majorHAnsi" w:hAnsiTheme="majorHAnsi" w:cstheme="majorHAnsi"/>
                <w:szCs w:val="22"/>
              </w:rPr>
              <w:t>COVID-19 response planning and</w:t>
            </w:r>
            <w:r w:rsidR="000E26F0" w:rsidRPr="00515CF0">
              <w:rPr>
                <w:rFonts w:asciiTheme="majorHAnsi" w:hAnsiTheme="majorHAnsi" w:cstheme="majorHAnsi"/>
                <w:szCs w:val="22"/>
              </w:rPr>
              <w:t xml:space="preserve"> </w:t>
            </w:r>
            <w:r w:rsidRPr="00515CF0">
              <w:rPr>
                <w:rFonts w:asciiTheme="majorHAnsi" w:hAnsiTheme="majorHAnsi" w:cstheme="majorHAnsi"/>
                <w:szCs w:val="22"/>
              </w:rPr>
              <w:t>implementation</w:t>
            </w:r>
            <w:r w:rsidR="00961F58" w:rsidRPr="00515CF0">
              <w:rPr>
                <w:rFonts w:asciiTheme="majorHAnsi" w:hAnsiTheme="majorHAnsi" w:cstheme="majorHAnsi"/>
                <w:szCs w:val="22"/>
              </w:rPr>
              <w:t xml:space="preserve"> will be reviewed.</w:t>
            </w:r>
          </w:p>
        </w:tc>
      </w:tr>
      <w:tr w:rsidR="00820401" w:rsidRPr="00515CF0" w14:paraId="636CA8D5" w14:textId="77777777" w:rsidTr="008577A2">
        <w:tc>
          <w:tcPr>
            <w:tcW w:w="4063" w:type="dxa"/>
            <w:tcBorders>
              <w:right w:val="single" w:sz="6" w:space="0" w:color="000000"/>
            </w:tcBorders>
            <w:shd w:val="clear" w:color="auto" w:fill="auto"/>
          </w:tcPr>
          <w:p w14:paraId="7F53375D" w14:textId="77777777" w:rsidR="00820401" w:rsidRPr="00515CF0" w:rsidRDefault="00820401" w:rsidP="00F16257">
            <w:pPr>
              <w:spacing w:after="200"/>
              <w:jc w:val="both"/>
              <w:rPr>
                <w:rFonts w:asciiTheme="majorHAnsi" w:hAnsiTheme="majorHAnsi" w:cstheme="majorHAnsi"/>
                <w:szCs w:val="22"/>
              </w:rPr>
            </w:pPr>
            <w:r w:rsidRPr="00515CF0">
              <w:rPr>
                <w:rFonts w:asciiTheme="majorHAnsi" w:hAnsiTheme="majorHAnsi" w:cstheme="majorHAnsi"/>
                <w:szCs w:val="22"/>
              </w:rPr>
              <w:t xml:space="preserve">In-depth interviews </w:t>
            </w:r>
          </w:p>
        </w:tc>
        <w:tc>
          <w:tcPr>
            <w:tcW w:w="5024" w:type="dxa"/>
            <w:shd w:val="clear" w:color="auto" w:fill="auto"/>
          </w:tcPr>
          <w:p w14:paraId="367FE478" w14:textId="44E5FDB8" w:rsidR="00820401" w:rsidRPr="00515CF0" w:rsidRDefault="00FA3607" w:rsidP="00F16257">
            <w:pPr>
              <w:spacing w:after="200"/>
              <w:jc w:val="both"/>
              <w:rPr>
                <w:rFonts w:asciiTheme="majorHAnsi" w:hAnsiTheme="majorHAnsi" w:cstheme="majorHAnsi"/>
                <w:szCs w:val="22"/>
              </w:rPr>
            </w:pPr>
            <w:r w:rsidRPr="00515CF0">
              <w:rPr>
                <w:rFonts w:asciiTheme="majorHAnsi" w:hAnsiTheme="majorHAnsi" w:cstheme="majorHAnsi"/>
                <w:szCs w:val="22"/>
              </w:rPr>
              <w:t xml:space="preserve">Interviews will be conducted </w:t>
            </w:r>
            <w:r w:rsidR="000E26F0" w:rsidRPr="00515CF0">
              <w:rPr>
                <w:rFonts w:asciiTheme="majorHAnsi" w:hAnsiTheme="majorHAnsi" w:cstheme="majorHAnsi"/>
                <w:szCs w:val="22"/>
              </w:rPr>
              <w:t>with natio</w:t>
            </w:r>
            <w:r w:rsidR="00FC3D99" w:rsidRPr="00515CF0">
              <w:rPr>
                <w:rFonts w:asciiTheme="majorHAnsi" w:hAnsiTheme="majorHAnsi" w:cstheme="majorHAnsi"/>
                <w:szCs w:val="22"/>
              </w:rPr>
              <w:t>nal and local policy and decision</w:t>
            </w:r>
            <w:r w:rsidR="00252A9B">
              <w:rPr>
                <w:rFonts w:asciiTheme="majorHAnsi" w:hAnsiTheme="majorHAnsi" w:cstheme="majorHAnsi"/>
                <w:szCs w:val="22"/>
              </w:rPr>
              <w:t>-</w:t>
            </w:r>
            <w:r w:rsidR="00FC3D99" w:rsidRPr="00515CF0">
              <w:rPr>
                <w:rFonts w:asciiTheme="majorHAnsi" w:hAnsiTheme="majorHAnsi" w:cstheme="majorHAnsi"/>
                <w:szCs w:val="22"/>
              </w:rPr>
              <w:t xml:space="preserve">makers </w:t>
            </w:r>
            <w:r w:rsidRPr="00515CF0">
              <w:rPr>
                <w:rFonts w:asciiTheme="majorHAnsi" w:hAnsiTheme="majorHAnsi" w:cstheme="majorHAnsi"/>
                <w:szCs w:val="22"/>
              </w:rPr>
              <w:t xml:space="preserve">involved in the </w:t>
            </w:r>
            <w:r w:rsidR="002F2F26">
              <w:rPr>
                <w:rFonts w:asciiTheme="majorHAnsi" w:hAnsiTheme="majorHAnsi" w:cstheme="majorHAnsi"/>
                <w:szCs w:val="22"/>
              </w:rPr>
              <w:t xml:space="preserve">COVID-19 response planning and </w:t>
            </w:r>
            <w:r w:rsidRPr="00515CF0">
              <w:rPr>
                <w:rFonts w:asciiTheme="majorHAnsi" w:hAnsiTheme="majorHAnsi" w:cstheme="majorHAnsi"/>
                <w:szCs w:val="22"/>
              </w:rPr>
              <w:t>implementation;</w:t>
            </w:r>
            <w:r w:rsidR="00FC3D99" w:rsidRPr="00515CF0">
              <w:rPr>
                <w:rFonts w:asciiTheme="majorHAnsi" w:hAnsiTheme="majorHAnsi" w:cstheme="majorHAnsi"/>
                <w:szCs w:val="22"/>
              </w:rPr>
              <w:t xml:space="preserve"> </w:t>
            </w:r>
            <w:r w:rsidR="008577A2">
              <w:rPr>
                <w:rFonts w:asciiTheme="majorHAnsi" w:hAnsiTheme="majorHAnsi" w:cstheme="majorHAnsi"/>
                <w:szCs w:val="22"/>
              </w:rPr>
              <w:t>Four</w:t>
            </w:r>
            <w:r w:rsidR="00B9745A" w:rsidRPr="00515CF0">
              <w:rPr>
                <w:rFonts w:asciiTheme="majorHAnsi" w:hAnsiTheme="majorHAnsi" w:cstheme="majorHAnsi"/>
                <w:szCs w:val="22"/>
              </w:rPr>
              <w:t xml:space="preserve"> interviews with key informants will be conducted at the first stage using the open</w:t>
            </w:r>
            <w:r w:rsidR="008577A2">
              <w:rPr>
                <w:rFonts w:asciiTheme="majorHAnsi" w:hAnsiTheme="majorHAnsi" w:cstheme="majorHAnsi"/>
                <w:szCs w:val="22"/>
              </w:rPr>
              <w:t>-</w:t>
            </w:r>
            <w:r w:rsidR="00B9745A" w:rsidRPr="00515CF0">
              <w:rPr>
                <w:rFonts w:asciiTheme="majorHAnsi" w:hAnsiTheme="majorHAnsi" w:cstheme="majorHAnsi"/>
                <w:szCs w:val="22"/>
              </w:rPr>
              <w:t>ended questionnaire</w:t>
            </w:r>
            <w:r w:rsidR="00642F2F" w:rsidRPr="00515CF0">
              <w:rPr>
                <w:rFonts w:asciiTheme="majorHAnsi" w:hAnsiTheme="majorHAnsi" w:cstheme="majorHAnsi"/>
                <w:szCs w:val="22"/>
              </w:rPr>
              <w:t>. Up to 2</w:t>
            </w:r>
            <w:r w:rsidR="005D0219" w:rsidRPr="00515CF0">
              <w:rPr>
                <w:rFonts w:asciiTheme="majorHAnsi" w:hAnsiTheme="majorHAnsi" w:cstheme="majorHAnsi"/>
                <w:szCs w:val="22"/>
              </w:rPr>
              <w:t>0</w:t>
            </w:r>
            <w:r w:rsidR="00961F58" w:rsidRPr="00515CF0">
              <w:rPr>
                <w:rFonts w:asciiTheme="majorHAnsi" w:hAnsiTheme="majorHAnsi" w:cstheme="majorHAnsi"/>
                <w:szCs w:val="22"/>
              </w:rPr>
              <w:t xml:space="preserve"> interviews with key stakeholders</w:t>
            </w:r>
            <w:r w:rsidR="008577A2">
              <w:rPr>
                <w:rFonts w:asciiTheme="majorHAnsi" w:hAnsiTheme="majorHAnsi" w:cstheme="majorHAnsi"/>
                <w:szCs w:val="22"/>
              </w:rPr>
              <w:t xml:space="preserve"> within and outside the Ministry and its structures and ICC</w:t>
            </w:r>
            <w:r w:rsidR="00961F58" w:rsidRPr="00515CF0">
              <w:rPr>
                <w:rFonts w:asciiTheme="majorHAnsi" w:hAnsiTheme="majorHAnsi" w:cstheme="majorHAnsi"/>
                <w:szCs w:val="22"/>
              </w:rPr>
              <w:t xml:space="preserve"> are anticipate</w:t>
            </w:r>
            <w:r w:rsidR="00FC3D99" w:rsidRPr="00515CF0">
              <w:rPr>
                <w:rFonts w:asciiTheme="majorHAnsi" w:hAnsiTheme="majorHAnsi" w:cstheme="majorHAnsi"/>
                <w:szCs w:val="22"/>
              </w:rPr>
              <w:t>d during the second</w:t>
            </w:r>
            <w:r w:rsidR="00961F58" w:rsidRPr="00515CF0">
              <w:rPr>
                <w:rFonts w:asciiTheme="majorHAnsi" w:hAnsiTheme="majorHAnsi" w:cstheme="majorHAnsi"/>
                <w:szCs w:val="22"/>
              </w:rPr>
              <w:t xml:space="preserve"> stage of the</w:t>
            </w:r>
            <w:r w:rsidR="00FC3D99" w:rsidRPr="00515CF0">
              <w:rPr>
                <w:rFonts w:asciiTheme="majorHAnsi" w:hAnsiTheme="majorHAnsi" w:cstheme="majorHAnsi"/>
                <w:szCs w:val="22"/>
              </w:rPr>
              <w:t xml:space="preserve"> study. </w:t>
            </w:r>
          </w:p>
        </w:tc>
      </w:tr>
      <w:tr w:rsidR="00820401" w:rsidRPr="00515CF0" w14:paraId="4D21A2B8" w14:textId="77777777" w:rsidTr="008577A2">
        <w:tc>
          <w:tcPr>
            <w:tcW w:w="4063" w:type="dxa"/>
            <w:tcBorders>
              <w:right w:val="single" w:sz="6" w:space="0" w:color="000000"/>
            </w:tcBorders>
            <w:shd w:val="clear" w:color="auto" w:fill="auto"/>
          </w:tcPr>
          <w:p w14:paraId="1C8F905F" w14:textId="77777777" w:rsidR="00820401" w:rsidRPr="00515CF0" w:rsidRDefault="00820401" w:rsidP="00F16257">
            <w:pPr>
              <w:spacing w:after="200"/>
              <w:jc w:val="both"/>
              <w:rPr>
                <w:rFonts w:asciiTheme="majorHAnsi" w:hAnsiTheme="majorHAnsi" w:cstheme="majorHAnsi"/>
                <w:szCs w:val="22"/>
              </w:rPr>
            </w:pPr>
            <w:r w:rsidRPr="00515CF0">
              <w:rPr>
                <w:rFonts w:asciiTheme="majorHAnsi" w:hAnsiTheme="majorHAnsi" w:cstheme="majorHAnsi"/>
                <w:szCs w:val="22"/>
              </w:rPr>
              <w:t xml:space="preserve">Secondary data </w:t>
            </w:r>
          </w:p>
        </w:tc>
        <w:tc>
          <w:tcPr>
            <w:tcW w:w="5024" w:type="dxa"/>
            <w:shd w:val="clear" w:color="auto" w:fill="auto"/>
          </w:tcPr>
          <w:p w14:paraId="4AA23D97" w14:textId="2FA88220" w:rsidR="00820401" w:rsidRPr="00515CF0" w:rsidRDefault="00FA3607" w:rsidP="00F16257">
            <w:pPr>
              <w:spacing w:after="200"/>
              <w:jc w:val="both"/>
              <w:rPr>
                <w:rFonts w:asciiTheme="majorHAnsi" w:hAnsiTheme="majorHAnsi" w:cstheme="majorHAnsi"/>
                <w:szCs w:val="22"/>
              </w:rPr>
            </w:pPr>
            <w:r w:rsidRPr="00515CF0">
              <w:rPr>
                <w:rFonts w:asciiTheme="majorHAnsi" w:hAnsiTheme="majorHAnsi" w:cstheme="majorHAnsi"/>
                <w:szCs w:val="22"/>
              </w:rPr>
              <w:t xml:space="preserve">Will involve the </w:t>
            </w:r>
            <w:r w:rsidR="00FC3D99" w:rsidRPr="00515CF0">
              <w:rPr>
                <w:rFonts w:asciiTheme="majorHAnsi" w:hAnsiTheme="majorHAnsi" w:cstheme="majorHAnsi"/>
                <w:szCs w:val="22"/>
              </w:rPr>
              <w:t xml:space="preserve">secondary analysis </w:t>
            </w:r>
            <w:r w:rsidRPr="00515CF0">
              <w:rPr>
                <w:rFonts w:asciiTheme="majorHAnsi" w:hAnsiTheme="majorHAnsi" w:cstheme="majorHAnsi"/>
                <w:szCs w:val="22"/>
              </w:rPr>
              <w:t xml:space="preserve">of the </w:t>
            </w:r>
            <w:r w:rsidR="00352479" w:rsidRPr="00515CF0">
              <w:rPr>
                <w:rFonts w:asciiTheme="majorHAnsi" w:hAnsiTheme="majorHAnsi" w:cstheme="majorHAnsi"/>
                <w:szCs w:val="22"/>
              </w:rPr>
              <w:t>q</w:t>
            </w:r>
            <w:r w:rsidRPr="00515CF0">
              <w:rPr>
                <w:rFonts w:asciiTheme="majorHAnsi" w:hAnsiTheme="majorHAnsi" w:cstheme="majorHAnsi"/>
                <w:szCs w:val="22"/>
              </w:rPr>
              <w:t>uantitative</w:t>
            </w:r>
            <w:r w:rsidR="00FC3D99" w:rsidRPr="00515CF0">
              <w:rPr>
                <w:rFonts w:asciiTheme="majorHAnsi" w:hAnsiTheme="majorHAnsi" w:cstheme="majorHAnsi"/>
                <w:szCs w:val="22"/>
              </w:rPr>
              <w:t xml:space="preserve"> data on </w:t>
            </w:r>
            <w:r w:rsidR="00957A9D">
              <w:rPr>
                <w:rFonts w:asciiTheme="majorHAnsi" w:hAnsiTheme="majorHAnsi" w:cstheme="majorHAnsi"/>
                <w:szCs w:val="22"/>
              </w:rPr>
              <w:t>COVID-19 outbreak and response measures</w:t>
            </w:r>
            <w:r w:rsidRPr="00515CF0">
              <w:rPr>
                <w:rFonts w:asciiTheme="majorHAnsi" w:hAnsiTheme="majorHAnsi" w:cstheme="majorHAnsi"/>
                <w:szCs w:val="22"/>
              </w:rPr>
              <w:t>.</w:t>
            </w:r>
          </w:p>
        </w:tc>
      </w:tr>
    </w:tbl>
    <w:p w14:paraId="1E6C5705" w14:textId="46435E60" w:rsidR="00672E2C" w:rsidRPr="00515CF0" w:rsidRDefault="00672E2C" w:rsidP="00F16257">
      <w:pPr>
        <w:widowControl w:val="0"/>
        <w:spacing w:before="100" w:beforeAutospacing="1"/>
        <w:jc w:val="both"/>
        <w:rPr>
          <w:rFonts w:asciiTheme="majorHAnsi" w:hAnsiTheme="majorHAnsi" w:cstheme="majorHAnsi"/>
        </w:rPr>
      </w:pPr>
      <w:r w:rsidRPr="00515CF0">
        <w:rPr>
          <w:rFonts w:asciiTheme="majorHAnsi" w:hAnsiTheme="majorHAnsi" w:cstheme="majorHAnsi"/>
        </w:rPr>
        <w:t xml:space="preserve">The research will be undertaken in two stages. The first stage will involve the overview of the key issues pertaining the </w:t>
      </w:r>
      <w:r w:rsidR="00770CBF">
        <w:rPr>
          <w:rFonts w:asciiTheme="majorHAnsi" w:hAnsiTheme="majorHAnsi" w:cstheme="majorHAnsi"/>
        </w:rPr>
        <w:t>pandemic planning and implementation</w:t>
      </w:r>
      <w:r w:rsidRPr="00515CF0">
        <w:rPr>
          <w:rFonts w:asciiTheme="majorHAnsi" w:hAnsiTheme="majorHAnsi" w:cstheme="majorHAnsi"/>
        </w:rPr>
        <w:t xml:space="preserve"> through developing an initial description of the chronology of the </w:t>
      </w:r>
      <w:r w:rsidR="00FD265A">
        <w:rPr>
          <w:rFonts w:asciiTheme="majorHAnsi" w:hAnsiTheme="majorHAnsi" w:cstheme="majorHAnsi"/>
        </w:rPr>
        <w:t>response</w:t>
      </w:r>
      <w:r w:rsidRPr="00515CF0">
        <w:rPr>
          <w:rFonts w:asciiTheme="majorHAnsi" w:hAnsiTheme="majorHAnsi" w:cstheme="majorHAnsi"/>
        </w:rPr>
        <w:t xml:space="preserve"> </w:t>
      </w:r>
      <w:r w:rsidR="00FD265A">
        <w:rPr>
          <w:rFonts w:asciiTheme="majorHAnsi" w:hAnsiTheme="majorHAnsi" w:cstheme="majorHAnsi"/>
        </w:rPr>
        <w:t>escalation</w:t>
      </w:r>
      <w:r w:rsidRPr="00515CF0">
        <w:rPr>
          <w:rFonts w:asciiTheme="majorHAnsi" w:hAnsiTheme="majorHAnsi" w:cstheme="majorHAnsi"/>
        </w:rPr>
        <w:t xml:space="preserve"> with reference to key features of context, actors and </w:t>
      </w:r>
      <w:r w:rsidR="00FD265A">
        <w:rPr>
          <w:rFonts w:asciiTheme="majorHAnsi" w:hAnsiTheme="majorHAnsi" w:cstheme="majorHAnsi"/>
        </w:rPr>
        <w:t>the content</w:t>
      </w:r>
      <w:r w:rsidRPr="00515CF0">
        <w:rPr>
          <w:rFonts w:asciiTheme="majorHAnsi" w:hAnsiTheme="majorHAnsi" w:cstheme="majorHAnsi"/>
        </w:rPr>
        <w:t>. This initial overview will be derived from a comprehensive review of relevant documents as w</w:t>
      </w:r>
      <w:r w:rsidR="00DC7C77" w:rsidRPr="00515CF0">
        <w:rPr>
          <w:rFonts w:asciiTheme="majorHAnsi" w:hAnsiTheme="majorHAnsi" w:cstheme="majorHAnsi"/>
        </w:rPr>
        <w:t>ell as key informant interviews.</w:t>
      </w:r>
      <w:r w:rsidR="00D96CD4" w:rsidRPr="00515CF0">
        <w:rPr>
          <w:rFonts w:asciiTheme="majorHAnsi" w:hAnsiTheme="majorHAnsi" w:cstheme="majorHAnsi"/>
        </w:rPr>
        <w:t xml:space="preserve"> </w:t>
      </w:r>
      <w:r w:rsidR="00A262D2">
        <w:rPr>
          <w:rFonts w:asciiTheme="majorHAnsi" w:hAnsiTheme="majorHAnsi" w:cstheme="majorHAnsi"/>
          <w:i/>
        </w:rPr>
        <w:t xml:space="preserve">Four </w:t>
      </w:r>
      <w:r w:rsidR="00D96CD4" w:rsidRPr="00515CF0">
        <w:rPr>
          <w:rFonts w:asciiTheme="majorHAnsi" w:hAnsiTheme="majorHAnsi" w:cstheme="majorHAnsi"/>
          <w:i/>
        </w:rPr>
        <w:t>key informants</w:t>
      </w:r>
      <w:r w:rsidR="00D96CD4" w:rsidRPr="00515CF0">
        <w:rPr>
          <w:rFonts w:asciiTheme="majorHAnsi" w:hAnsiTheme="majorHAnsi" w:cstheme="majorHAnsi"/>
        </w:rPr>
        <w:t xml:space="preserve"> will be selected for the first stage of the research</w:t>
      </w:r>
      <w:r w:rsidR="00252A9B">
        <w:rPr>
          <w:rFonts w:asciiTheme="majorHAnsi" w:hAnsiTheme="majorHAnsi" w:cstheme="majorHAnsi"/>
        </w:rPr>
        <w:t>,</w:t>
      </w:r>
      <w:r w:rsidR="00D96CD4" w:rsidRPr="00515CF0">
        <w:rPr>
          <w:rFonts w:asciiTheme="majorHAnsi" w:hAnsiTheme="majorHAnsi" w:cstheme="majorHAnsi"/>
        </w:rPr>
        <w:t xml:space="preserve"> and in-depth interviews will be conducted. The key informants will include a first set of policymakers, technical advisors and technical experts from the </w:t>
      </w:r>
      <w:r w:rsidR="00174884">
        <w:rPr>
          <w:rFonts w:asciiTheme="majorHAnsi" w:hAnsiTheme="majorHAnsi" w:cstheme="majorHAnsi"/>
        </w:rPr>
        <w:t xml:space="preserve">national and </w:t>
      </w:r>
      <w:r w:rsidR="00D96CD4" w:rsidRPr="00515CF0">
        <w:rPr>
          <w:rFonts w:asciiTheme="majorHAnsi" w:hAnsiTheme="majorHAnsi" w:cstheme="majorHAnsi"/>
        </w:rPr>
        <w:t>international organizations that were directly involved in the re</w:t>
      </w:r>
      <w:r w:rsidR="00174884">
        <w:rPr>
          <w:rFonts w:asciiTheme="majorHAnsi" w:hAnsiTheme="majorHAnsi" w:cstheme="majorHAnsi"/>
        </w:rPr>
        <w:t>sponse planning and implementation</w:t>
      </w:r>
      <w:r w:rsidR="00D96CD4" w:rsidRPr="00515CF0">
        <w:rPr>
          <w:rFonts w:asciiTheme="majorHAnsi" w:hAnsiTheme="majorHAnsi" w:cstheme="majorHAnsi"/>
        </w:rPr>
        <w:t xml:space="preserve">. They will be identified through the literature review and the researchers own knowledge of key actors involved in the </w:t>
      </w:r>
      <w:r w:rsidR="00174884">
        <w:rPr>
          <w:rFonts w:asciiTheme="majorHAnsi" w:hAnsiTheme="majorHAnsi" w:cstheme="majorHAnsi"/>
        </w:rPr>
        <w:t>COVID-19 response</w:t>
      </w:r>
      <w:r w:rsidR="00D96CD4" w:rsidRPr="00515CF0">
        <w:rPr>
          <w:rFonts w:asciiTheme="majorHAnsi" w:hAnsiTheme="majorHAnsi" w:cstheme="majorHAnsi"/>
        </w:rPr>
        <w:t xml:space="preserve"> implementation. Interviews with key informants will be semi-structured and based on the research questions</w:t>
      </w:r>
      <w:r w:rsidR="00C8210D">
        <w:rPr>
          <w:rFonts w:asciiTheme="majorHAnsi" w:hAnsiTheme="majorHAnsi" w:cstheme="majorHAnsi"/>
        </w:rPr>
        <w:t xml:space="preserve">. </w:t>
      </w:r>
      <w:r w:rsidR="00D96CD4" w:rsidRPr="00515CF0">
        <w:rPr>
          <w:rFonts w:asciiTheme="majorHAnsi" w:hAnsiTheme="majorHAnsi" w:cstheme="majorHAnsi"/>
        </w:rPr>
        <w:t>The in-depth interviews with key informants are expected to take up to 90 minutes.</w:t>
      </w:r>
    </w:p>
    <w:p w14:paraId="22B8A1EE" w14:textId="0B084260" w:rsidR="000E4565" w:rsidRPr="00515CF0" w:rsidRDefault="00672E2C" w:rsidP="00F90916">
      <w:pPr>
        <w:widowControl w:val="0"/>
        <w:spacing w:before="100" w:beforeAutospacing="1"/>
        <w:jc w:val="both"/>
        <w:rPr>
          <w:rFonts w:asciiTheme="majorHAnsi" w:hAnsiTheme="majorHAnsi" w:cstheme="majorHAnsi"/>
        </w:rPr>
      </w:pPr>
      <w:r w:rsidRPr="00515CF0">
        <w:rPr>
          <w:rFonts w:asciiTheme="majorHAnsi" w:hAnsiTheme="majorHAnsi" w:cstheme="majorHAnsi"/>
        </w:rPr>
        <w:t>The second stage will involve (</w:t>
      </w:r>
      <w:proofErr w:type="spellStart"/>
      <w:r w:rsidRPr="00515CF0">
        <w:rPr>
          <w:rFonts w:asciiTheme="majorHAnsi" w:hAnsiTheme="majorHAnsi" w:cstheme="majorHAnsi"/>
        </w:rPr>
        <w:t>i</w:t>
      </w:r>
      <w:proofErr w:type="spellEnd"/>
      <w:r w:rsidRPr="00515CF0">
        <w:rPr>
          <w:rFonts w:asciiTheme="majorHAnsi" w:hAnsiTheme="majorHAnsi" w:cstheme="majorHAnsi"/>
        </w:rPr>
        <w:t>) the in-depth interviews with</w:t>
      </w:r>
      <w:r w:rsidR="009413F1">
        <w:rPr>
          <w:rFonts w:asciiTheme="majorHAnsi" w:hAnsiTheme="majorHAnsi" w:cstheme="majorHAnsi"/>
        </w:rPr>
        <w:t xml:space="preserve"> other</w:t>
      </w:r>
      <w:r w:rsidRPr="00515CF0">
        <w:rPr>
          <w:rFonts w:asciiTheme="majorHAnsi" w:hAnsiTheme="majorHAnsi" w:cstheme="majorHAnsi"/>
        </w:rPr>
        <w:t xml:space="preserve"> national and local level </w:t>
      </w:r>
      <w:r w:rsidRPr="00515CF0">
        <w:rPr>
          <w:rFonts w:asciiTheme="majorHAnsi" w:hAnsiTheme="majorHAnsi" w:cstheme="majorHAnsi"/>
        </w:rPr>
        <w:lastRenderedPageBreak/>
        <w:t xml:space="preserve">policymakers responsible for </w:t>
      </w:r>
      <w:r w:rsidR="009413F1">
        <w:rPr>
          <w:rFonts w:asciiTheme="majorHAnsi" w:hAnsiTheme="majorHAnsi" w:cstheme="majorHAnsi"/>
        </w:rPr>
        <w:t>COVID-19</w:t>
      </w:r>
      <w:r w:rsidRPr="00515CF0">
        <w:rPr>
          <w:rFonts w:asciiTheme="majorHAnsi" w:hAnsiTheme="majorHAnsi" w:cstheme="majorHAnsi"/>
        </w:rPr>
        <w:t xml:space="preserve"> (</w:t>
      </w:r>
      <w:r w:rsidR="00E27CC5">
        <w:rPr>
          <w:rFonts w:asciiTheme="majorHAnsi" w:hAnsiTheme="majorHAnsi" w:cstheme="majorHAnsi"/>
        </w:rPr>
        <w:t>the Ministry,</w:t>
      </w:r>
      <w:r w:rsidR="00CD34A7">
        <w:rPr>
          <w:rFonts w:asciiTheme="majorHAnsi" w:hAnsiTheme="majorHAnsi" w:cstheme="majorHAnsi"/>
        </w:rPr>
        <w:t xml:space="preserve"> NCDC,</w:t>
      </w:r>
      <w:r w:rsidR="00E27CC5">
        <w:rPr>
          <w:rFonts w:asciiTheme="majorHAnsi" w:hAnsiTheme="majorHAnsi" w:cstheme="majorHAnsi"/>
        </w:rPr>
        <w:t xml:space="preserve"> Prime Minister’s office, </w:t>
      </w:r>
      <w:r w:rsidRPr="00515CF0">
        <w:rPr>
          <w:rFonts w:asciiTheme="majorHAnsi" w:hAnsiTheme="majorHAnsi" w:cstheme="majorHAnsi"/>
        </w:rPr>
        <w:t xml:space="preserve">Ministry of </w:t>
      </w:r>
      <w:r w:rsidR="007149E4">
        <w:rPr>
          <w:rFonts w:asciiTheme="majorHAnsi" w:hAnsiTheme="majorHAnsi" w:cstheme="majorHAnsi"/>
        </w:rPr>
        <w:t>Economy and Sustainable Development</w:t>
      </w:r>
      <w:r w:rsidRPr="00515CF0">
        <w:rPr>
          <w:rFonts w:asciiTheme="majorHAnsi" w:hAnsiTheme="majorHAnsi" w:cstheme="majorHAnsi"/>
        </w:rPr>
        <w:t xml:space="preserve">, </w:t>
      </w:r>
      <w:r w:rsidR="009C7402">
        <w:rPr>
          <w:rFonts w:asciiTheme="majorHAnsi" w:hAnsiTheme="majorHAnsi" w:cstheme="majorHAnsi"/>
        </w:rPr>
        <w:t xml:space="preserve">other ministries and GoG agencies, </w:t>
      </w:r>
      <w:r w:rsidRPr="00515CF0">
        <w:rPr>
          <w:rFonts w:asciiTheme="majorHAnsi" w:hAnsiTheme="majorHAnsi" w:cstheme="majorHAnsi"/>
        </w:rPr>
        <w:t xml:space="preserve">health facility managers) directly engaged in the </w:t>
      </w:r>
      <w:r w:rsidR="009C7402">
        <w:rPr>
          <w:rFonts w:asciiTheme="majorHAnsi" w:hAnsiTheme="majorHAnsi" w:cstheme="majorHAnsi"/>
        </w:rPr>
        <w:t xml:space="preserve">COVID-19 response planning </w:t>
      </w:r>
      <w:r w:rsidRPr="00515CF0">
        <w:rPr>
          <w:rFonts w:asciiTheme="majorHAnsi" w:hAnsiTheme="majorHAnsi" w:cstheme="majorHAnsi"/>
        </w:rPr>
        <w:t>and implementation</w:t>
      </w:r>
      <w:r w:rsidR="009C7402">
        <w:rPr>
          <w:rFonts w:asciiTheme="majorHAnsi" w:hAnsiTheme="majorHAnsi" w:cstheme="majorHAnsi"/>
        </w:rPr>
        <w:t>, and identified at the first stage of the study</w:t>
      </w:r>
      <w:r w:rsidR="00CB1A7C">
        <w:rPr>
          <w:rFonts w:asciiTheme="majorHAnsi" w:hAnsiTheme="majorHAnsi" w:cstheme="majorHAnsi"/>
        </w:rPr>
        <w:t>.</w:t>
      </w:r>
      <w:r w:rsidRPr="00515CF0">
        <w:rPr>
          <w:rFonts w:asciiTheme="majorHAnsi" w:hAnsiTheme="majorHAnsi" w:cstheme="majorHAnsi"/>
        </w:rPr>
        <w:t xml:space="preserve"> </w:t>
      </w:r>
      <w:r w:rsidR="00252A9B">
        <w:rPr>
          <w:rFonts w:asciiTheme="majorHAnsi" w:hAnsiTheme="majorHAnsi" w:cstheme="majorHAnsi"/>
        </w:rPr>
        <w:t>T</w:t>
      </w:r>
      <w:r w:rsidR="00DC7C77" w:rsidRPr="00515CF0">
        <w:rPr>
          <w:rFonts w:asciiTheme="majorHAnsi" w:hAnsiTheme="majorHAnsi" w:cstheme="majorHAnsi"/>
        </w:rPr>
        <w:t xml:space="preserve">he information collected </w:t>
      </w:r>
      <w:r w:rsidR="00D96CD4" w:rsidRPr="00515CF0">
        <w:rPr>
          <w:rFonts w:asciiTheme="majorHAnsi" w:hAnsiTheme="majorHAnsi" w:cstheme="majorHAnsi"/>
        </w:rPr>
        <w:t xml:space="preserve">during the desk review and </w:t>
      </w:r>
      <w:r w:rsidR="00DC7C77" w:rsidRPr="00515CF0">
        <w:rPr>
          <w:rFonts w:asciiTheme="majorHAnsi" w:hAnsiTheme="majorHAnsi" w:cstheme="majorHAnsi"/>
        </w:rPr>
        <w:t xml:space="preserve">the initial set of key informants will also be used for the revision and fine-tuning of the in-depth interview guide that will be used for further data collection. The respondents for in-depth interviews to be conducted at the second stage of the study will be identified through the snowball technique. </w:t>
      </w:r>
      <w:r w:rsidR="00DC7C77" w:rsidRPr="00515CF0">
        <w:rPr>
          <w:rFonts w:asciiTheme="majorHAnsi" w:hAnsiTheme="majorHAnsi" w:cstheme="majorHAnsi"/>
          <w:i/>
        </w:rPr>
        <w:t>Up to 2</w:t>
      </w:r>
      <w:r w:rsidR="007B517B" w:rsidRPr="00515CF0">
        <w:rPr>
          <w:rFonts w:asciiTheme="majorHAnsi" w:hAnsiTheme="majorHAnsi" w:cstheme="majorHAnsi"/>
          <w:i/>
        </w:rPr>
        <w:t>0</w:t>
      </w:r>
      <w:r w:rsidR="00DC7C77" w:rsidRPr="00515CF0">
        <w:rPr>
          <w:rFonts w:asciiTheme="majorHAnsi" w:hAnsiTheme="majorHAnsi" w:cstheme="majorHAnsi"/>
          <w:i/>
        </w:rPr>
        <w:t xml:space="preserve"> in-depth interviews </w:t>
      </w:r>
      <w:r w:rsidR="00DC7C77" w:rsidRPr="00515CF0">
        <w:rPr>
          <w:rFonts w:asciiTheme="majorHAnsi" w:hAnsiTheme="majorHAnsi" w:cstheme="majorHAnsi"/>
        </w:rPr>
        <w:t>are envisioned at this stage of the study. The in-depth interviews will take approximately 60 minutes. The in-depth interviews with stakeholders at this stage will be conducted one-on-one using semi-structured interview guides fine-tuned at the first stage of the study</w:t>
      </w:r>
      <w:r w:rsidR="00F90916">
        <w:rPr>
          <w:rFonts w:asciiTheme="majorHAnsi" w:hAnsiTheme="majorHAnsi" w:cstheme="majorHAnsi"/>
        </w:rPr>
        <w:t>.</w:t>
      </w:r>
    </w:p>
    <w:p w14:paraId="2C88E29F" w14:textId="75BC5EC0" w:rsidR="00B00F45" w:rsidRPr="00F90916" w:rsidRDefault="00B00F45" w:rsidP="00F16257">
      <w:pPr>
        <w:jc w:val="both"/>
        <w:rPr>
          <w:rFonts w:asciiTheme="majorHAnsi" w:hAnsiTheme="majorHAnsi" w:cstheme="majorHAnsi"/>
          <w:b/>
        </w:rPr>
      </w:pPr>
      <w:r w:rsidRPr="00515CF0">
        <w:rPr>
          <w:rFonts w:asciiTheme="majorHAnsi" w:hAnsiTheme="majorHAnsi" w:cstheme="majorHAnsi"/>
          <w:b/>
        </w:rPr>
        <w:t>Data Management and Analysis</w:t>
      </w:r>
    </w:p>
    <w:p w14:paraId="0C7B3C00" w14:textId="143F787F" w:rsidR="00C45D9D" w:rsidRPr="00515CF0" w:rsidRDefault="006C2B40" w:rsidP="00F16257">
      <w:pPr>
        <w:jc w:val="both"/>
        <w:rPr>
          <w:rFonts w:asciiTheme="majorHAnsi" w:hAnsiTheme="majorHAnsi" w:cstheme="majorHAnsi"/>
        </w:rPr>
      </w:pPr>
      <w:r>
        <w:t xml:space="preserve">We will use </w:t>
      </w:r>
      <w:r w:rsidR="007674FF" w:rsidRPr="00157468">
        <w:t xml:space="preserve">the methodology of </w:t>
      </w:r>
      <w:r w:rsidR="00B0643C">
        <w:t>“</w:t>
      </w:r>
      <w:r w:rsidR="007674FF" w:rsidRPr="00157468">
        <w:t>best fit framework synthesis</w:t>
      </w:r>
      <w:r w:rsidR="00B0643C">
        <w:t>”</w:t>
      </w:r>
      <w:r w:rsidR="007674FF" w:rsidRPr="00157468">
        <w:t xml:space="preserve"> (hereafter referred as Framework Synthesis) to help manage the data collected from the desk review and key informant interviews, which will need to be </w:t>
      </w:r>
      <w:r w:rsidRPr="00157468">
        <w:t>synthesized</w:t>
      </w:r>
      <w:r w:rsidR="007674FF">
        <w:t>.</w:t>
      </w:r>
      <w:r w:rsidR="007674FF" w:rsidRPr="00157468">
        <w:t xml:space="preserve"> </w:t>
      </w:r>
      <w:sdt>
        <w:sdtPr>
          <w:id w:val="1842193738"/>
          <w:citation/>
        </w:sdtPr>
        <w:sdtEndPr/>
        <w:sdtContent>
          <w:r w:rsidR="001D3731">
            <w:fldChar w:fldCharType="begin"/>
          </w:r>
          <w:r w:rsidR="001D3731">
            <w:instrText xml:space="preserve"> CITATION Bar09 \l 1033 </w:instrText>
          </w:r>
          <w:r w:rsidR="001D3731">
            <w:fldChar w:fldCharType="separate"/>
          </w:r>
          <w:r w:rsidR="001D3731" w:rsidRPr="001D3731">
            <w:rPr>
              <w:noProof/>
            </w:rPr>
            <w:t>[27]</w:t>
          </w:r>
          <w:r w:rsidR="001D3731">
            <w:fldChar w:fldCharType="end"/>
          </w:r>
        </w:sdtContent>
      </w:sdt>
      <w:sdt>
        <w:sdtPr>
          <w:id w:val="-785581070"/>
          <w:citation/>
        </w:sdtPr>
        <w:sdtEndPr/>
        <w:sdtContent>
          <w:r w:rsidR="001573B2">
            <w:fldChar w:fldCharType="begin"/>
          </w:r>
          <w:r w:rsidR="001573B2">
            <w:instrText xml:space="preserve"> CITATION Car11 \l 1033 </w:instrText>
          </w:r>
          <w:r w:rsidR="001573B2">
            <w:fldChar w:fldCharType="separate"/>
          </w:r>
          <w:r w:rsidR="001573B2">
            <w:rPr>
              <w:noProof/>
            </w:rPr>
            <w:t xml:space="preserve"> </w:t>
          </w:r>
          <w:r w:rsidR="001573B2" w:rsidRPr="001573B2">
            <w:rPr>
              <w:noProof/>
            </w:rPr>
            <w:t>[28]</w:t>
          </w:r>
          <w:r w:rsidR="001573B2">
            <w:fldChar w:fldCharType="end"/>
          </w:r>
        </w:sdtContent>
      </w:sdt>
      <w:r w:rsidR="007674FF" w:rsidRPr="00157468">
        <w:t xml:space="preserve"> Framework Synthesis can accommodate large amounts of qualitative data in many forms by offering a highly structured approach to organi</w:t>
      </w:r>
      <w:r w:rsidR="000141A5">
        <w:t>z</w:t>
      </w:r>
      <w:r w:rsidR="007674FF" w:rsidRPr="00157468">
        <w:t>ing and analy</w:t>
      </w:r>
      <w:r w:rsidR="000141A5">
        <w:t>z</w:t>
      </w:r>
      <w:r w:rsidR="007674FF" w:rsidRPr="00157468">
        <w:t xml:space="preserve">ing data from multiple sources (e.g. a range of documents or interviews). While this method predominantly relies on an </w:t>
      </w:r>
      <w:r w:rsidR="007674FF" w:rsidRPr="00157468">
        <w:rPr>
          <w:i/>
        </w:rPr>
        <w:t>a priori</w:t>
      </w:r>
      <w:r w:rsidR="007674FF" w:rsidRPr="00157468">
        <w:t xml:space="preserve"> determined framework (i.e. rows where the topics of interest are mentioned), unanticipated issues can be explored as they are inductively identified, by adding additional rows to the framework</w:t>
      </w:r>
      <w:r w:rsidR="007674FF">
        <w:t>.</w:t>
      </w:r>
      <w:sdt>
        <w:sdtPr>
          <w:id w:val="-1479837407"/>
          <w:citation/>
        </w:sdtPr>
        <w:sdtEndPr/>
        <w:sdtContent>
          <w:r w:rsidR="00351D8C">
            <w:fldChar w:fldCharType="begin"/>
          </w:r>
          <w:r w:rsidR="00351D8C">
            <w:instrText xml:space="preserve"> CITATION Bru06 \l 1033 </w:instrText>
          </w:r>
          <w:r w:rsidR="00351D8C">
            <w:fldChar w:fldCharType="separate"/>
          </w:r>
          <w:r w:rsidR="00351D8C">
            <w:rPr>
              <w:noProof/>
            </w:rPr>
            <w:t xml:space="preserve"> </w:t>
          </w:r>
          <w:r w:rsidR="00351D8C" w:rsidRPr="00351D8C">
            <w:rPr>
              <w:noProof/>
            </w:rPr>
            <w:t>[29]</w:t>
          </w:r>
          <w:r w:rsidR="00351D8C">
            <w:fldChar w:fldCharType="end"/>
          </w:r>
        </w:sdtContent>
      </w:sdt>
      <w:r w:rsidR="00C45D9D" w:rsidRPr="00515CF0">
        <w:rPr>
          <w:rFonts w:asciiTheme="majorHAnsi" w:hAnsiTheme="majorHAnsi" w:cstheme="majorHAnsi"/>
        </w:rPr>
        <w:t xml:space="preserve"> </w:t>
      </w:r>
      <w:r w:rsidR="00D41B90">
        <w:rPr>
          <w:rFonts w:asciiTheme="majorHAnsi" w:hAnsiTheme="majorHAnsi" w:cstheme="majorHAnsi"/>
        </w:rPr>
        <w:t>i</w:t>
      </w:r>
      <w:r w:rsidR="00C45D9D" w:rsidRPr="00515CF0">
        <w:rPr>
          <w:rFonts w:asciiTheme="majorHAnsi" w:hAnsiTheme="majorHAnsi" w:cstheme="majorHAnsi"/>
        </w:rPr>
        <w:t xml:space="preserve">nformation derived from each of the sources of qualitative data used at every stage of the study will be triangulated within and between data </w:t>
      </w:r>
      <w:r w:rsidR="007A4823" w:rsidRPr="00515CF0">
        <w:rPr>
          <w:rFonts w:asciiTheme="majorHAnsi" w:hAnsiTheme="majorHAnsi" w:cstheme="majorHAnsi"/>
        </w:rPr>
        <w:t xml:space="preserve">sources </w:t>
      </w:r>
      <w:r w:rsidR="00020620" w:rsidRPr="00515CF0">
        <w:rPr>
          <w:rFonts w:asciiTheme="majorHAnsi" w:hAnsiTheme="majorHAnsi" w:cstheme="majorHAnsi"/>
        </w:rPr>
        <w:t xml:space="preserve">and data collection methods </w:t>
      </w:r>
      <w:r w:rsidR="00C45D9D" w:rsidRPr="00515CF0">
        <w:rPr>
          <w:rFonts w:asciiTheme="majorHAnsi" w:hAnsiTheme="majorHAnsi" w:cstheme="majorHAnsi"/>
        </w:rPr>
        <w:t xml:space="preserve">with the aim of identifying common understandings of the experiences of issues at focus, as well as differences of opinion between various stakeholders. </w:t>
      </w:r>
    </w:p>
    <w:p w14:paraId="5FE5DFC3" w14:textId="7CBA60AE" w:rsidR="00C45D9D" w:rsidRPr="00515CF0" w:rsidRDefault="00C45D9D" w:rsidP="00F16257">
      <w:pPr>
        <w:jc w:val="both"/>
        <w:rPr>
          <w:rFonts w:asciiTheme="majorHAnsi" w:hAnsiTheme="majorHAnsi" w:cstheme="majorHAnsi"/>
        </w:rPr>
      </w:pPr>
      <w:r w:rsidRPr="00515CF0">
        <w:rPr>
          <w:rFonts w:asciiTheme="majorHAnsi" w:hAnsiTheme="majorHAnsi" w:cstheme="majorHAnsi"/>
        </w:rPr>
        <w:t xml:space="preserve">Preparation of the final report will be an iterative process in which the research team will </w:t>
      </w:r>
      <w:r w:rsidR="00FD17DA">
        <w:rPr>
          <w:rFonts w:asciiTheme="majorHAnsi" w:hAnsiTheme="majorHAnsi" w:cstheme="majorHAnsi"/>
        </w:rPr>
        <w:t>frequently meet</w:t>
      </w:r>
      <w:r w:rsidRPr="00515CF0">
        <w:rPr>
          <w:rFonts w:asciiTheme="majorHAnsi" w:hAnsiTheme="majorHAnsi" w:cstheme="majorHAnsi"/>
        </w:rPr>
        <w:t xml:space="preserve"> to reflect and review their evolving understanding of the experiences being analyzed. The researchers’ views and understandings derived from the stakeholder interviews will be validated through </w:t>
      </w:r>
      <w:r w:rsidR="00020620" w:rsidRPr="00515CF0">
        <w:rPr>
          <w:rFonts w:asciiTheme="majorHAnsi" w:hAnsiTheme="majorHAnsi" w:cstheme="majorHAnsi"/>
        </w:rPr>
        <w:t>the PI’s review of the results and their comparison with a selected number of transcripts from in-depth interviews</w:t>
      </w:r>
      <w:r w:rsidRPr="00515CF0">
        <w:rPr>
          <w:rFonts w:asciiTheme="majorHAnsi" w:hAnsiTheme="majorHAnsi" w:cstheme="majorHAnsi"/>
        </w:rPr>
        <w:t xml:space="preserve">. Lastly, </w:t>
      </w:r>
      <w:r w:rsidR="00020620" w:rsidRPr="00515CF0">
        <w:rPr>
          <w:rFonts w:asciiTheme="majorHAnsi" w:hAnsiTheme="majorHAnsi" w:cstheme="majorHAnsi"/>
        </w:rPr>
        <w:t xml:space="preserve">we will get </w:t>
      </w:r>
      <w:r w:rsidRPr="00515CF0">
        <w:rPr>
          <w:rFonts w:asciiTheme="majorHAnsi" w:hAnsiTheme="majorHAnsi" w:cstheme="majorHAnsi"/>
        </w:rPr>
        <w:t>input from the external peer reviewers (</w:t>
      </w:r>
      <w:r w:rsidR="002626C4">
        <w:rPr>
          <w:rFonts w:asciiTheme="majorHAnsi" w:hAnsiTheme="majorHAnsi" w:cstheme="majorHAnsi"/>
        </w:rPr>
        <w:t xml:space="preserve">We hope from the </w:t>
      </w:r>
      <w:r w:rsidR="003C56EA">
        <w:rPr>
          <w:rFonts w:asciiTheme="majorHAnsi" w:hAnsiTheme="majorHAnsi" w:cstheme="majorHAnsi"/>
        </w:rPr>
        <w:t xml:space="preserve">Alliance) </w:t>
      </w:r>
      <w:r w:rsidR="00020620" w:rsidRPr="00515CF0">
        <w:rPr>
          <w:rFonts w:asciiTheme="majorHAnsi" w:hAnsiTheme="majorHAnsi" w:cstheme="majorHAnsi"/>
        </w:rPr>
        <w:t>to finalize</w:t>
      </w:r>
      <w:r w:rsidRPr="00515CF0">
        <w:rPr>
          <w:rFonts w:asciiTheme="majorHAnsi" w:hAnsiTheme="majorHAnsi" w:cstheme="majorHAnsi"/>
        </w:rPr>
        <w:t xml:space="preserve"> the study report.</w:t>
      </w:r>
    </w:p>
    <w:p w14:paraId="1E50D6CF" w14:textId="4EDFDF43" w:rsidR="000B471F" w:rsidRPr="00C8210D" w:rsidRDefault="000B471F" w:rsidP="00F16257">
      <w:pPr>
        <w:jc w:val="both"/>
        <w:rPr>
          <w:rFonts w:asciiTheme="majorHAnsi" w:hAnsiTheme="majorHAnsi" w:cstheme="majorHAnsi"/>
          <w:b/>
        </w:rPr>
      </w:pPr>
      <w:r w:rsidRPr="00515CF0">
        <w:rPr>
          <w:rFonts w:asciiTheme="majorHAnsi" w:hAnsiTheme="majorHAnsi" w:cstheme="majorHAnsi"/>
          <w:b/>
        </w:rPr>
        <w:t>Quality Assurance</w:t>
      </w:r>
    </w:p>
    <w:p w14:paraId="3854F109" w14:textId="58CB0E98" w:rsidR="004E3176" w:rsidRPr="00515CF0" w:rsidRDefault="006223D7" w:rsidP="00F16257">
      <w:pPr>
        <w:jc w:val="both"/>
        <w:rPr>
          <w:rFonts w:asciiTheme="majorHAnsi" w:hAnsiTheme="majorHAnsi" w:cstheme="majorHAnsi"/>
        </w:rPr>
      </w:pPr>
      <w:r w:rsidRPr="00515CF0">
        <w:rPr>
          <w:rFonts w:asciiTheme="majorHAnsi" w:hAnsiTheme="majorHAnsi" w:cstheme="majorHAnsi"/>
        </w:rPr>
        <w:t>We will use several</w:t>
      </w:r>
      <w:r w:rsidR="000B471F" w:rsidRPr="00515CF0">
        <w:rPr>
          <w:rFonts w:asciiTheme="majorHAnsi" w:hAnsiTheme="majorHAnsi" w:cstheme="majorHAnsi"/>
        </w:rPr>
        <w:t xml:space="preserve"> techniques during the study to assure </w:t>
      </w:r>
      <w:r w:rsidR="00FD17DA">
        <w:rPr>
          <w:rFonts w:asciiTheme="majorHAnsi" w:hAnsiTheme="majorHAnsi" w:cstheme="majorHAnsi"/>
        </w:rPr>
        <w:t xml:space="preserve">the </w:t>
      </w:r>
      <w:r w:rsidR="000B471F" w:rsidRPr="00515CF0">
        <w:rPr>
          <w:rFonts w:asciiTheme="majorHAnsi" w:hAnsiTheme="majorHAnsi" w:cstheme="majorHAnsi"/>
        </w:rPr>
        <w:t>quality of the research: (a) elements of multiple coding, with regular cross</w:t>
      </w:r>
      <w:r w:rsidR="00FD17DA">
        <w:rPr>
          <w:rFonts w:asciiTheme="majorHAnsi" w:hAnsiTheme="majorHAnsi" w:cstheme="majorHAnsi"/>
        </w:rPr>
        <w:t>-</w:t>
      </w:r>
      <w:r w:rsidR="000B471F" w:rsidRPr="00515CF0">
        <w:rPr>
          <w:rFonts w:asciiTheme="majorHAnsi" w:hAnsiTheme="majorHAnsi" w:cstheme="majorHAnsi"/>
        </w:rPr>
        <w:t xml:space="preserve">checks of coding strategies interpretation of data between </w:t>
      </w:r>
      <w:r w:rsidR="00C40DE2">
        <w:rPr>
          <w:rFonts w:asciiTheme="majorHAnsi" w:hAnsiTheme="majorHAnsi" w:cstheme="majorHAnsi"/>
        </w:rPr>
        <w:t xml:space="preserve">two </w:t>
      </w:r>
      <w:r w:rsidR="000B471F" w:rsidRPr="00515CF0">
        <w:rPr>
          <w:rFonts w:asciiTheme="majorHAnsi" w:hAnsiTheme="majorHAnsi" w:cstheme="majorHAnsi"/>
        </w:rPr>
        <w:t xml:space="preserve">researchers participating in the study and this will represent one of </w:t>
      </w:r>
      <w:r w:rsidR="00FD17DA">
        <w:rPr>
          <w:rFonts w:asciiTheme="majorHAnsi" w:hAnsiTheme="majorHAnsi" w:cstheme="majorHAnsi"/>
        </w:rPr>
        <w:t xml:space="preserve">the </w:t>
      </w:r>
      <w:r w:rsidR="000B471F" w:rsidRPr="00515CF0">
        <w:rPr>
          <w:rFonts w:asciiTheme="majorHAnsi" w:hAnsiTheme="majorHAnsi" w:cstheme="majorHAnsi"/>
        </w:rPr>
        <w:t>core activities of the weekly researcher meetings during the stages of the research when the data is collected through in</w:t>
      </w:r>
      <w:r w:rsidR="00FD17DA">
        <w:rPr>
          <w:rFonts w:asciiTheme="majorHAnsi" w:hAnsiTheme="majorHAnsi" w:cstheme="majorHAnsi"/>
        </w:rPr>
        <w:t>-</w:t>
      </w:r>
      <w:r w:rsidR="000B471F" w:rsidRPr="00515CF0">
        <w:rPr>
          <w:rFonts w:asciiTheme="majorHAnsi" w:hAnsiTheme="majorHAnsi" w:cstheme="majorHAnsi"/>
        </w:rPr>
        <w:t xml:space="preserve">depth interviews; (b) using </w:t>
      </w:r>
      <w:r w:rsidR="00C40DE2">
        <w:rPr>
          <w:rFonts w:asciiTheme="majorHAnsi" w:hAnsiTheme="majorHAnsi" w:cstheme="majorHAnsi"/>
        </w:rPr>
        <w:t xml:space="preserve">framework synthesis </w:t>
      </w:r>
      <w:r w:rsidR="000B471F" w:rsidRPr="00515CF0">
        <w:rPr>
          <w:rFonts w:asciiTheme="majorHAnsi" w:hAnsiTheme="majorHAnsi" w:cstheme="majorHAnsi"/>
        </w:rPr>
        <w:t>for data analysis that may mitigate the potential bias enshrined in the researchers’ prior theoretical viewpoint; (c) triangulation from different sources of data collected during the study, may help to addresses the issue of internal validity by using more than one method of data collection to answer proposed research questions; (</w:t>
      </w:r>
      <w:r w:rsidR="009974D5" w:rsidRPr="00515CF0">
        <w:rPr>
          <w:rFonts w:asciiTheme="majorHAnsi" w:hAnsiTheme="majorHAnsi" w:cstheme="majorHAnsi"/>
        </w:rPr>
        <w:t>d</w:t>
      </w:r>
      <w:r w:rsidR="000B471F" w:rsidRPr="00515CF0">
        <w:rPr>
          <w:rFonts w:asciiTheme="majorHAnsi" w:hAnsiTheme="majorHAnsi" w:cstheme="majorHAnsi"/>
        </w:rPr>
        <w:t xml:space="preserve">) finally, the researchers will seek peer review of the final study report from external reviewers that are also expected to add value to the quality of the research outcomes. </w:t>
      </w:r>
    </w:p>
    <w:p w14:paraId="4A2A86B0" w14:textId="7452909E" w:rsidR="000274F7" w:rsidRPr="00515CF0" w:rsidRDefault="000B471F" w:rsidP="00C8210D">
      <w:pPr>
        <w:pStyle w:val="Heading1"/>
        <w:jc w:val="both"/>
        <w:rPr>
          <w:rFonts w:asciiTheme="majorHAnsi" w:hAnsiTheme="majorHAnsi" w:cstheme="majorHAnsi"/>
        </w:rPr>
      </w:pPr>
      <w:r w:rsidRPr="00515CF0">
        <w:rPr>
          <w:rFonts w:asciiTheme="majorHAnsi" w:hAnsiTheme="majorHAnsi" w:cstheme="majorHAnsi"/>
        </w:rPr>
        <w:t xml:space="preserve">4. </w:t>
      </w:r>
      <w:r w:rsidR="000274F7" w:rsidRPr="00515CF0">
        <w:rPr>
          <w:rFonts w:asciiTheme="majorHAnsi" w:hAnsiTheme="majorHAnsi" w:cstheme="majorHAnsi"/>
        </w:rPr>
        <w:t>Expected Outcomes of the Study</w:t>
      </w:r>
    </w:p>
    <w:p w14:paraId="6736F7AF" w14:textId="6A626559" w:rsidR="002E48F8" w:rsidRPr="00515CF0" w:rsidRDefault="00915AFA" w:rsidP="00F16257">
      <w:pPr>
        <w:jc w:val="both"/>
        <w:rPr>
          <w:rFonts w:asciiTheme="majorHAnsi" w:hAnsiTheme="majorHAnsi" w:cstheme="majorHAnsi"/>
        </w:rPr>
      </w:pPr>
      <w:r>
        <w:rPr>
          <w:rFonts w:asciiTheme="majorHAnsi" w:hAnsiTheme="majorHAnsi" w:cstheme="majorHAnsi"/>
        </w:rPr>
        <w:t>The f</w:t>
      </w:r>
      <w:r w:rsidR="000274F7" w:rsidRPr="00515CF0">
        <w:rPr>
          <w:rFonts w:asciiTheme="majorHAnsi" w:hAnsiTheme="majorHAnsi" w:cstheme="majorHAnsi"/>
        </w:rPr>
        <w:t xml:space="preserve">inal deliverable of the case study will be a case study report with concrete policy recommendations </w:t>
      </w:r>
      <w:r w:rsidR="004E3176" w:rsidRPr="00515CF0">
        <w:rPr>
          <w:rFonts w:asciiTheme="majorHAnsi" w:hAnsiTheme="majorHAnsi" w:cstheme="majorHAnsi"/>
        </w:rPr>
        <w:t xml:space="preserve">and one policy brief summarizing the study results </w:t>
      </w:r>
      <w:r w:rsidR="000274F7" w:rsidRPr="00515CF0">
        <w:rPr>
          <w:rFonts w:asciiTheme="majorHAnsi" w:hAnsiTheme="majorHAnsi" w:cstheme="majorHAnsi"/>
        </w:rPr>
        <w:t xml:space="preserve">that will be disseminated </w:t>
      </w:r>
      <w:r w:rsidR="000E4565" w:rsidRPr="00515CF0">
        <w:rPr>
          <w:rFonts w:asciiTheme="majorHAnsi" w:hAnsiTheme="majorHAnsi" w:cstheme="majorHAnsi"/>
        </w:rPr>
        <w:t xml:space="preserve">through a national dissemination workshop </w:t>
      </w:r>
      <w:r w:rsidR="000274F7" w:rsidRPr="00515CF0">
        <w:rPr>
          <w:rFonts w:asciiTheme="majorHAnsi" w:hAnsiTheme="majorHAnsi" w:cstheme="majorHAnsi"/>
        </w:rPr>
        <w:t>to policymakers and all stakeholders inv</w:t>
      </w:r>
      <w:r w:rsidR="00C45D9D" w:rsidRPr="00515CF0">
        <w:rPr>
          <w:rFonts w:asciiTheme="majorHAnsi" w:hAnsiTheme="majorHAnsi" w:cstheme="majorHAnsi"/>
        </w:rPr>
        <w:t xml:space="preserve">olved </w:t>
      </w:r>
      <w:r w:rsidR="009746D0">
        <w:rPr>
          <w:rFonts w:asciiTheme="majorHAnsi" w:hAnsiTheme="majorHAnsi" w:cstheme="majorHAnsi"/>
        </w:rPr>
        <w:t>in the COVID-19 pandemic response planning and implementation</w:t>
      </w:r>
      <w:r w:rsidR="004E3176" w:rsidRPr="00515CF0">
        <w:rPr>
          <w:rFonts w:asciiTheme="majorHAnsi" w:hAnsiTheme="majorHAnsi" w:cstheme="majorHAnsi"/>
        </w:rPr>
        <w:t xml:space="preserve">. </w:t>
      </w:r>
    </w:p>
    <w:p w14:paraId="30639EFC" w14:textId="594C03B7" w:rsidR="000274F7" w:rsidRPr="00515CF0" w:rsidRDefault="009004B4" w:rsidP="00F16257">
      <w:pPr>
        <w:jc w:val="both"/>
        <w:rPr>
          <w:rFonts w:asciiTheme="majorHAnsi" w:hAnsiTheme="majorHAnsi" w:cstheme="majorHAnsi"/>
        </w:rPr>
      </w:pPr>
      <w:r w:rsidRPr="00515CF0">
        <w:rPr>
          <w:rFonts w:asciiTheme="majorHAnsi" w:hAnsiTheme="majorHAnsi" w:cstheme="majorHAnsi"/>
        </w:rPr>
        <w:t>The case study</w:t>
      </w:r>
      <w:r w:rsidR="00C45D9D" w:rsidRPr="00515CF0">
        <w:rPr>
          <w:rFonts w:asciiTheme="majorHAnsi" w:hAnsiTheme="majorHAnsi" w:cstheme="majorHAnsi"/>
        </w:rPr>
        <w:t xml:space="preserve"> results describing the </w:t>
      </w:r>
      <w:r w:rsidR="009746D0">
        <w:rPr>
          <w:rFonts w:asciiTheme="majorHAnsi" w:hAnsiTheme="majorHAnsi" w:cstheme="majorHAnsi"/>
        </w:rPr>
        <w:t>Georgia</w:t>
      </w:r>
      <w:r w:rsidRPr="00515CF0">
        <w:rPr>
          <w:rFonts w:asciiTheme="majorHAnsi" w:hAnsiTheme="majorHAnsi" w:cstheme="majorHAnsi"/>
        </w:rPr>
        <w:t xml:space="preserve"> experience may also be useful for other low and</w:t>
      </w:r>
      <w:r w:rsidR="00C45D9D" w:rsidRPr="00515CF0">
        <w:rPr>
          <w:rFonts w:asciiTheme="majorHAnsi" w:hAnsiTheme="majorHAnsi" w:cstheme="majorHAnsi"/>
        </w:rPr>
        <w:t xml:space="preserve"> middle-</w:t>
      </w:r>
      <w:r w:rsidRPr="00515CF0">
        <w:rPr>
          <w:rFonts w:asciiTheme="majorHAnsi" w:hAnsiTheme="majorHAnsi" w:cstheme="majorHAnsi"/>
        </w:rPr>
        <w:t xml:space="preserve">income countries </w:t>
      </w:r>
      <w:r w:rsidR="009746D0">
        <w:rPr>
          <w:rFonts w:asciiTheme="majorHAnsi" w:hAnsiTheme="majorHAnsi" w:cstheme="majorHAnsi"/>
        </w:rPr>
        <w:t>engaged in COVID-19 pandemic response</w:t>
      </w:r>
      <w:r w:rsidRPr="00515CF0">
        <w:rPr>
          <w:rFonts w:asciiTheme="majorHAnsi" w:hAnsiTheme="majorHAnsi" w:cstheme="majorHAnsi"/>
        </w:rPr>
        <w:t>.</w:t>
      </w:r>
      <w:r w:rsidR="002E48F8" w:rsidRPr="00515CF0">
        <w:rPr>
          <w:rFonts w:asciiTheme="majorHAnsi" w:hAnsiTheme="majorHAnsi" w:cstheme="majorHAnsi"/>
        </w:rPr>
        <w:t xml:space="preserve"> </w:t>
      </w:r>
    </w:p>
    <w:p w14:paraId="78D70794" w14:textId="615CD04F" w:rsidR="009004B4" w:rsidRPr="00515CF0" w:rsidRDefault="009004B4" w:rsidP="00F16257">
      <w:pPr>
        <w:jc w:val="both"/>
        <w:rPr>
          <w:rFonts w:asciiTheme="majorHAnsi" w:hAnsiTheme="majorHAnsi" w:cstheme="majorHAnsi"/>
          <w:b/>
          <w:bCs/>
        </w:rPr>
      </w:pPr>
      <w:r w:rsidRPr="00515CF0">
        <w:rPr>
          <w:rFonts w:asciiTheme="majorHAnsi" w:hAnsiTheme="majorHAnsi" w:cstheme="majorHAnsi"/>
        </w:rPr>
        <w:lastRenderedPageBreak/>
        <w:t>The research team, as a result of the study also plans to produce at least one publication in international peer</w:t>
      </w:r>
      <w:r w:rsidR="00915AFA">
        <w:rPr>
          <w:rFonts w:asciiTheme="majorHAnsi" w:hAnsiTheme="majorHAnsi" w:cstheme="majorHAnsi"/>
        </w:rPr>
        <w:t>-</w:t>
      </w:r>
      <w:r w:rsidRPr="00515CF0">
        <w:rPr>
          <w:rFonts w:asciiTheme="majorHAnsi" w:hAnsiTheme="majorHAnsi" w:cstheme="majorHAnsi"/>
        </w:rPr>
        <w:t xml:space="preserve">reviewed journal, taking into account the stated intention of the </w:t>
      </w:r>
      <w:r w:rsidRPr="00515CF0">
        <w:rPr>
          <w:rFonts w:asciiTheme="majorHAnsi" w:hAnsiTheme="majorHAnsi" w:cstheme="majorHAnsi"/>
          <w:bCs/>
        </w:rPr>
        <w:t xml:space="preserve">Alliance for Health Policy and Systems Research to support the publication of the case study results funded under the current call for proposals. </w:t>
      </w:r>
      <w:r w:rsidRPr="00515CF0">
        <w:rPr>
          <w:rFonts w:asciiTheme="majorHAnsi" w:hAnsiTheme="majorHAnsi" w:cstheme="majorHAnsi"/>
        </w:rPr>
        <w:t>The research team also plans to adhere</w:t>
      </w:r>
      <w:r w:rsidR="00915AFA">
        <w:rPr>
          <w:rFonts w:asciiTheme="majorHAnsi" w:hAnsiTheme="majorHAnsi" w:cstheme="majorHAnsi"/>
        </w:rPr>
        <w:t xml:space="preserve"> to</w:t>
      </w:r>
      <w:r w:rsidRPr="00515CF0">
        <w:rPr>
          <w:rFonts w:asciiTheme="majorHAnsi" w:hAnsiTheme="majorHAnsi" w:cstheme="majorHAnsi"/>
        </w:rPr>
        <w:t xml:space="preserve"> any additional publication policy that the AHPSR may impose upon the research conducted under their funding. </w:t>
      </w:r>
    </w:p>
    <w:p w14:paraId="096A76A3" w14:textId="0F94E69C" w:rsidR="00A10533" w:rsidRPr="00515CF0" w:rsidRDefault="004E3176" w:rsidP="00660314">
      <w:pPr>
        <w:pStyle w:val="Heading1"/>
        <w:jc w:val="both"/>
        <w:rPr>
          <w:rFonts w:asciiTheme="majorHAnsi" w:hAnsiTheme="majorHAnsi" w:cstheme="majorHAnsi"/>
        </w:rPr>
      </w:pPr>
      <w:r w:rsidRPr="00515CF0">
        <w:rPr>
          <w:rFonts w:asciiTheme="majorHAnsi" w:hAnsiTheme="majorHAnsi" w:cstheme="majorHAnsi"/>
        </w:rPr>
        <w:t>5. Planning and Timetable</w:t>
      </w:r>
    </w:p>
    <w:p w14:paraId="5455EFB4" w14:textId="6B03AEF0" w:rsidR="009004B4" w:rsidRPr="00515CF0" w:rsidRDefault="00915AFA" w:rsidP="00F16257">
      <w:pPr>
        <w:jc w:val="both"/>
        <w:rPr>
          <w:rFonts w:asciiTheme="majorHAnsi" w:hAnsiTheme="majorHAnsi" w:cstheme="majorHAnsi"/>
        </w:rPr>
      </w:pPr>
      <w:r>
        <w:rPr>
          <w:rFonts w:asciiTheme="majorHAnsi" w:hAnsiTheme="majorHAnsi" w:cstheme="majorHAnsi"/>
        </w:rPr>
        <w:t>The p</w:t>
      </w:r>
      <w:r w:rsidR="009004B4" w:rsidRPr="00515CF0">
        <w:rPr>
          <w:rFonts w:asciiTheme="majorHAnsi" w:hAnsiTheme="majorHAnsi" w:cstheme="majorHAnsi"/>
        </w:rPr>
        <w:t>roposed t</w:t>
      </w:r>
      <w:r w:rsidR="004E3176" w:rsidRPr="00515CF0">
        <w:rPr>
          <w:rFonts w:asciiTheme="majorHAnsi" w:hAnsiTheme="majorHAnsi" w:cstheme="majorHAnsi"/>
        </w:rPr>
        <w:t xml:space="preserve">otal duration of the study is </w:t>
      </w:r>
      <w:r w:rsidR="00DB4632">
        <w:rPr>
          <w:rFonts w:asciiTheme="majorHAnsi" w:hAnsiTheme="majorHAnsi" w:cstheme="majorHAnsi"/>
        </w:rPr>
        <w:t>6</w:t>
      </w:r>
      <w:r w:rsidR="009004B4" w:rsidRPr="00515CF0">
        <w:rPr>
          <w:rFonts w:asciiTheme="majorHAnsi" w:hAnsiTheme="majorHAnsi" w:cstheme="majorHAnsi"/>
        </w:rPr>
        <w:t xml:space="preserve"> month</w:t>
      </w:r>
      <w:r w:rsidR="004E3176" w:rsidRPr="00515CF0">
        <w:rPr>
          <w:rFonts w:asciiTheme="majorHAnsi" w:hAnsiTheme="majorHAnsi" w:cstheme="majorHAnsi"/>
        </w:rPr>
        <w:t>s</w:t>
      </w:r>
      <w:r w:rsidR="009004B4" w:rsidRPr="00515CF0">
        <w:rPr>
          <w:rFonts w:asciiTheme="majorHAnsi" w:hAnsiTheme="majorHAnsi" w:cstheme="majorHAnsi"/>
        </w:rPr>
        <w:t xml:space="preserve">. </w:t>
      </w:r>
      <w:r w:rsidR="006856D1" w:rsidRPr="00515CF0">
        <w:rPr>
          <w:rFonts w:asciiTheme="majorHAnsi" w:hAnsiTheme="majorHAnsi" w:cstheme="majorHAnsi"/>
        </w:rPr>
        <w:t xml:space="preserve">The duration of the first stage is estimated at </w:t>
      </w:r>
      <w:r w:rsidR="00E92714">
        <w:rPr>
          <w:rFonts w:asciiTheme="majorHAnsi" w:hAnsiTheme="majorHAnsi" w:cstheme="majorHAnsi"/>
        </w:rPr>
        <w:t>1</w:t>
      </w:r>
      <w:r w:rsidR="004E3176" w:rsidRPr="00515CF0">
        <w:rPr>
          <w:rFonts w:asciiTheme="majorHAnsi" w:hAnsiTheme="majorHAnsi" w:cstheme="majorHAnsi"/>
        </w:rPr>
        <w:t xml:space="preserve"> month and the</w:t>
      </w:r>
      <w:r w:rsidR="006856D1" w:rsidRPr="00515CF0">
        <w:rPr>
          <w:rFonts w:asciiTheme="majorHAnsi" w:hAnsiTheme="majorHAnsi" w:cstheme="majorHAnsi"/>
        </w:rPr>
        <w:t xml:space="preserve"> second stage </w:t>
      </w:r>
      <w:r w:rsidR="004E3176" w:rsidRPr="00515CF0">
        <w:rPr>
          <w:rFonts w:asciiTheme="majorHAnsi" w:hAnsiTheme="majorHAnsi" w:cstheme="majorHAnsi"/>
        </w:rPr>
        <w:t xml:space="preserve">at </w:t>
      </w:r>
      <w:r w:rsidR="00691B87">
        <w:rPr>
          <w:rFonts w:asciiTheme="majorHAnsi" w:hAnsiTheme="majorHAnsi" w:cstheme="majorHAnsi"/>
        </w:rPr>
        <w:t>2</w:t>
      </w:r>
      <w:r w:rsidR="00593423">
        <w:rPr>
          <w:rFonts w:asciiTheme="majorHAnsi" w:hAnsiTheme="majorHAnsi" w:cstheme="majorHAnsi"/>
        </w:rPr>
        <w:t xml:space="preserve"> </w:t>
      </w:r>
      <w:r w:rsidR="006856D1" w:rsidRPr="00515CF0">
        <w:rPr>
          <w:rFonts w:asciiTheme="majorHAnsi" w:hAnsiTheme="majorHAnsi" w:cstheme="majorHAnsi"/>
        </w:rPr>
        <w:t>months</w:t>
      </w:r>
      <w:r w:rsidR="004E3176" w:rsidRPr="00515CF0">
        <w:rPr>
          <w:rFonts w:asciiTheme="majorHAnsi" w:hAnsiTheme="majorHAnsi" w:cstheme="majorHAnsi"/>
        </w:rPr>
        <w:t xml:space="preserve">. It is anticipated that data analysis, report and publication production will take up to </w:t>
      </w:r>
      <w:r w:rsidR="00593423">
        <w:rPr>
          <w:rFonts w:asciiTheme="majorHAnsi" w:hAnsiTheme="majorHAnsi" w:cstheme="majorHAnsi"/>
        </w:rPr>
        <w:t>3</w:t>
      </w:r>
      <w:r w:rsidR="004E3176" w:rsidRPr="00515CF0">
        <w:rPr>
          <w:rFonts w:asciiTheme="majorHAnsi" w:hAnsiTheme="majorHAnsi" w:cstheme="majorHAnsi"/>
        </w:rPr>
        <w:t xml:space="preserve"> months</w:t>
      </w:r>
      <w:r w:rsidR="006856D1" w:rsidRPr="00515CF0">
        <w:rPr>
          <w:rFonts w:asciiTheme="majorHAnsi" w:hAnsiTheme="majorHAnsi" w:cstheme="majorHAnsi"/>
        </w:rPr>
        <w:t xml:space="preserve">. </w:t>
      </w:r>
      <w:r w:rsidR="009004B4" w:rsidRPr="00515CF0">
        <w:rPr>
          <w:rFonts w:asciiTheme="majorHAnsi" w:hAnsiTheme="majorHAnsi" w:cstheme="majorHAnsi"/>
        </w:rPr>
        <w:t xml:space="preserve">The detailed monthly timeline is presented </w:t>
      </w:r>
      <w:r w:rsidR="006856D1" w:rsidRPr="00515CF0">
        <w:rPr>
          <w:rFonts w:asciiTheme="majorHAnsi" w:hAnsiTheme="majorHAnsi" w:cstheme="majorHAnsi"/>
        </w:rPr>
        <w:t xml:space="preserve">in the </w:t>
      </w:r>
      <w:r w:rsidR="00A10533" w:rsidRPr="00515CF0">
        <w:rPr>
          <w:rFonts w:asciiTheme="majorHAnsi" w:hAnsiTheme="majorHAnsi" w:cstheme="majorHAnsi"/>
        </w:rPr>
        <w:t xml:space="preserve">table </w:t>
      </w:r>
      <w:r w:rsidR="00D34D83" w:rsidRPr="00515CF0">
        <w:rPr>
          <w:rFonts w:asciiTheme="majorHAnsi" w:hAnsiTheme="majorHAnsi" w:cstheme="majorHAnsi"/>
        </w:rPr>
        <w:t>below</w:t>
      </w:r>
      <w:r w:rsidR="00A10533" w:rsidRPr="00515CF0">
        <w:rPr>
          <w:rFonts w:asciiTheme="majorHAnsi" w:hAnsiTheme="majorHAnsi" w:cstheme="majorHAnsi"/>
        </w:rPr>
        <w:t>.</w:t>
      </w:r>
    </w:p>
    <w:tbl>
      <w:tblPr>
        <w:tblW w:w="9180" w:type="dxa"/>
        <w:tblLayout w:type="fixed"/>
        <w:tblLook w:val="01E0" w:firstRow="1" w:lastRow="1" w:firstColumn="1" w:lastColumn="1" w:noHBand="0" w:noVBand="0"/>
      </w:tblPr>
      <w:tblGrid>
        <w:gridCol w:w="4470"/>
        <w:gridCol w:w="588"/>
        <w:gridCol w:w="588"/>
        <w:gridCol w:w="589"/>
        <w:gridCol w:w="589"/>
        <w:gridCol w:w="589"/>
        <w:gridCol w:w="589"/>
        <w:gridCol w:w="589"/>
        <w:gridCol w:w="589"/>
      </w:tblGrid>
      <w:tr w:rsidR="006F4D3A" w:rsidRPr="00515CF0" w14:paraId="4F19D494" w14:textId="77777777" w:rsidTr="006F4D3A">
        <w:trPr>
          <w:gridAfter w:val="7"/>
          <w:wAfter w:w="4101" w:type="dxa"/>
        </w:trPr>
        <w:tc>
          <w:tcPr>
            <w:tcW w:w="4487" w:type="dxa"/>
          </w:tcPr>
          <w:p w14:paraId="7FD9B7D6" w14:textId="77777777" w:rsidR="006F4D3A" w:rsidRPr="00515CF0" w:rsidRDefault="006F4D3A" w:rsidP="00F16257">
            <w:pPr>
              <w:jc w:val="both"/>
              <w:rPr>
                <w:rFonts w:asciiTheme="majorHAnsi" w:eastAsia="Times New Roman" w:hAnsiTheme="majorHAnsi" w:cstheme="majorHAnsi"/>
                <w:b/>
                <w:sz w:val="16"/>
                <w:szCs w:val="16"/>
                <w:lang w:eastAsia="en-US"/>
              </w:rPr>
            </w:pPr>
          </w:p>
        </w:tc>
        <w:tc>
          <w:tcPr>
            <w:tcW w:w="590" w:type="dxa"/>
          </w:tcPr>
          <w:p w14:paraId="5E6E78B6" w14:textId="77777777" w:rsidR="006F4D3A" w:rsidRPr="00515CF0" w:rsidRDefault="006F4D3A" w:rsidP="00F16257">
            <w:pPr>
              <w:jc w:val="both"/>
              <w:rPr>
                <w:rFonts w:asciiTheme="majorHAnsi" w:eastAsia="Times New Roman" w:hAnsiTheme="majorHAnsi" w:cstheme="majorHAnsi"/>
                <w:b/>
                <w:sz w:val="16"/>
                <w:szCs w:val="16"/>
                <w:lang w:eastAsia="en-US"/>
              </w:rPr>
            </w:pPr>
          </w:p>
        </w:tc>
      </w:tr>
      <w:tr w:rsidR="006F4D3A" w:rsidRPr="00515CF0" w14:paraId="03B2DF79" w14:textId="77777777" w:rsidTr="006F4D3A">
        <w:trPr>
          <w:gridAfter w:val="8"/>
          <w:wAfter w:w="4693" w:type="dxa"/>
        </w:trPr>
        <w:tc>
          <w:tcPr>
            <w:tcW w:w="4487" w:type="dxa"/>
            <w:tcBorders>
              <w:bottom w:val="single" w:sz="4" w:space="0" w:color="auto"/>
            </w:tcBorders>
          </w:tcPr>
          <w:p w14:paraId="2CFD1246" w14:textId="77777777" w:rsidR="006F4D3A" w:rsidRPr="00515CF0" w:rsidRDefault="006F4D3A" w:rsidP="00F16257">
            <w:pPr>
              <w:jc w:val="both"/>
              <w:rPr>
                <w:rFonts w:asciiTheme="majorHAnsi" w:eastAsia="Times New Roman" w:hAnsiTheme="majorHAnsi" w:cstheme="majorHAnsi"/>
                <w:b/>
                <w:sz w:val="18"/>
                <w:szCs w:val="18"/>
                <w:lang w:eastAsia="en-US"/>
              </w:rPr>
            </w:pPr>
            <w:r w:rsidRPr="00515CF0">
              <w:rPr>
                <w:rFonts w:asciiTheme="majorHAnsi" w:eastAsia="Times New Roman" w:hAnsiTheme="majorHAnsi" w:cstheme="majorHAnsi"/>
                <w:b/>
                <w:sz w:val="18"/>
                <w:szCs w:val="18"/>
                <w:lang w:eastAsia="en-US"/>
              </w:rPr>
              <w:t xml:space="preserve">Activity </w:t>
            </w:r>
          </w:p>
        </w:tc>
      </w:tr>
      <w:tr w:rsidR="006F4D3A" w:rsidRPr="00515CF0" w14:paraId="11ED8DA2" w14:textId="77777777" w:rsidTr="006F4D3A">
        <w:tc>
          <w:tcPr>
            <w:tcW w:w="4487" w:type="dxa"/>
            <w:tcBorders>
              <w:top w:val="single" w:sz="4" w:space="0" w:color="auto"/>
              <w:bottom w:val="single" w:sz="4" w:space="0" w:color="auto"/>
              <w:right w:val="single" w:sz="4" w:space="0" w:color="auto"/>
            </w:tcBorders>
          </w:tcPr>
          <w:p w14:paraId="0033E8D9" w14:textId="77777777" w:rsidR="006F4D3A" w:rsidRPr="00515CF0" w:rsidRDefault="006F4D3A" w:rsidP="00F16257">
            <w:pPr>
              <w:jc w:val="both"/>
              <w:rPr>
                <w:rFonts w:asciiTheme="majorHAnsi" w:eastAsia="Times New Roman" w:hAnsiTheme="majorHAnsi" w:cstheme="majorHAnsi"/>
                <w:b/>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auto"/>
          </w:tcPr>
          <w:p w14:paraId="62786FAC" w14:textId="77777777" w:rsidR="006F4D3A" w:rsidRPr="00515CF0" w:rsidRDefault="006F4D3A" w:rsidP="00F16257">
            <w:pPr>
              <w:jc w:val="both"/>
              <w:rPr>
                <w:rFonts w:asciiTheme="majorHAnsi" w:eastAsia="Times New Roman" w:hAnsiTheme="majorHAnsi" w:cstheme="majorHAnsi"/>
                <w:b/>
                <w:sz w:val="16"/>
                <w:szCs w:val="16"/>
                <w:lang w:eastAsia="en-US"/>
              </w:rPr>
            </w:pPr>
            <w:r w:rsidRPr="00515CF0">
              <w:rPr>
                <w:rFonts w:asciiTheme="majorHAnsi" w:eastAsia="Times New Roman" w:hAnsiTheme="majorHAnsi" w:cstheme="majorHAnsi"/>
                <w:b/>
                <w:sz w:val="16"/>
                <w:szCs w:val="16"/>
                <w:lang w:eastAsia="en-US"/>
              </w:rPr>
              <w:t>1</w:t>
            </w:r>
          </w:p>
        </w:tc>
        <w:tc>
          <w:tcPr>
            <w:tcW w:w="590" w:type="dxa"/>
            <w:tcBorders>
              <w:top w:val="single" w:sz="4" w:space="0" w:color="auto"/>
              <w:left w:val="single" w:sz="4" w:space="0" w:color="auto"/>
              <w:bottom w:val="single" w:sz="4" w:space="0" w:color="auto"/>
              <w:right w:val="single" w:sz="4" w:space="0" w:color="auto"/>
            </w:tcBorders>
            <w:shd w:val="clear" w:color="auto" w:fill="auto"/>
          </w:tcPr>
          <w:p w14:paraId="41610515" w14:textId="77777777" w:rsidR="006F4D3A" w:rsidRPr="00515CF0" w:rsidRDefault="006F4D3A" w:rsidP="00F16257">
            <w:pPr>
              <w:jc w:val="both"/>
              <w:rPr>
                <w:rFonts w:asciiTheme="majorHAnsi" w:eastAsia="Times New Roman" w:hAnsiTheme="majorHAnsi" w:cstheme="majorHAnsi"/>
                <w:b/>
                <w:sz w:val="16"/>
                <w:szCs w:val="16"/>
                <w:lang w:eastAsia="en-US"/>
              </w:rPr>
            </w:pPr>
            <w:r w:rsidRPr="00515CF0">
              <w:rPr>
                <w:rFonts w:asciiTheme="majorHAnsi" w:eastAsia="Times New Roman" w:hAnsiTheme="majorHAnsi" w:cstheme="majorHAnsi"/>
                <w:b/>
                <w:sz w:val="16"/>
                <w:szCs w:val="16"/>
                <w:lang w:eastAsia="en-US"/>
              </w:rPr>
              <w:t>2</w:t>
            </w:r>
          </w:p>
        </w:tc>
        <w:tc>
          <w:tcPr>
            <w:tcW w:w="590" w:type="dxa"/>
            <w:tcBorders>
              <w:top w:val="single" w:sz="4" w:space="0" w:color="auto"/>
              <w:left w:val="single" w:sz="4" w:space="0" w:color="auto"/>
              <w:bottom w:val="single" w:sz="4" w:space="0" w:color="auto"/>
              <w:right w:val="single" w:sz="4" w:space="0" w:color="auto"/>
            </w:tcBorders>
            <w:shd w:val="clear" w:color="auto" w:fill="auto"/>
          </w:tcPr>
          <w:p w14:paraId="420CD88F" w14:textId="77777777" w:rsidR="006F4D3A" w:rsidRPr="00515CF0" w:rsidRDefault="006F4D3A" w:rsidP="00F16257">
            <w:pPr>
              <w:jc w:val="both"/>
              <w:rPr>
                <w:rFonts w:asciiTheme="majorHAnsi" w:eastAsia="Times New Roman" w:hAnsiTheme="majorHAnsi" w:cstheme="majorHAnsi"/>
                <w:b/>
                <w:sz w:val="16"/>
                <w:szCs w:val="16"/>
                <w:lang w:eastAsia="en-US"/>
              </w:rPr>
            </w:pPr>
            <w:r w:rsidRPr="00515CF0">
              <w:rPr>
                <w:rFonts w:asciiTheme="majorHAnsi" w:eastAsia="Times New Roman" w:hAnsiTheme="majorHAnsi" w:cstheme="majorHAnsi"/>
                <w:b/>
                <w:sz w:val="16"/>
                <w:szCs w:val="16"/>
                <w:lang w:eastAsia="en-US"/>
              </w:rPr>
              <w:t>3</w:t>
            </w:r>
          </w:p>
        </w:tc>
        <w:tc>
          <w:tcPr>
            <w:tcW w:w="590" w:type="dxa"/>
            <w:tcBorders>
              <w:top w:val="single" w:sz="4" w:space="0" w:color="auto"/>
              <w:left w:val="single" w:sz="4" w:space="0" w:color="auto"/>
              <w:bottom w:val="single" w:sz="4" w:space="0" w:color="auto"/>
              <w:right w:val="single" w:sz="4" w:space="0" w:color="auto"/>
            </w:tcBorders>
            <w:shd w:val="clear" w:color="auto" w:fill="auto"/>
          </w:tcPr>
          <w:p w14:paraId="01DCCF4D" w14:textId="77777777" w:rsidR="006F4D3A" w:rsidRPr="00515CF0" w:rsidRDefault="006F4D3A" w:rsidP="00F16257">
            <w:pPr>
              <w:jc w:val="both"/>
              <w:rPr>
                <w:rFonts w:asciiTheme="majorHAnsi" w:eastAsia="Times New Roman" w:hAnsiTheme="majorHAnsi" w:cstheme="majorHAnsi"/>
                <w:b/>
                <w:sz w:val="16"/>
                <w:szCs w:val="16"/>
                <w:lang w:eastAsia="en-US"/>
              </w:rPr>
            </w:pPr>
            <w:r w:rsidRPr="00515CF0">
              <w:rPr>
                <w:rFonts w:asciiTheme="majorHAnsi" w:eastAsia="Times New Roman" w:hAnsiTheme="majorHAnsi" w:cstheme="majorHAnsi"/>
                <w:b/>
                <w:sz w:val="16"/>
                <w:szCs w:val="16"/>
                <w:lang w:eastAsia="en-US"/>
              </w:rPr>
              <w:t>4</w:t>
            </w:r>
          </w:p>
        </w:tc>
        <w:tc>
          <w:tcPr>
            <w:tcW w:w="590" w:type="dxa"/>
            <w:tcBorders>
              <w:top w:val="single" w:sz="4" w:space="0" w:color="auto"/>
              <w:left w:val="single" w:sz="4" w:space="0" w:color="auto"/>
              <w:bottom w:val="single" w:sz="4" w:space="0" w:color="auto"/>
              <w:right w:val="single" w:sz="4" w:space="0" w:color="auto"/>
            </w:tcBorders>
            <w:shd w:val="clear" w:color="auto" w:fill="auto"/>
          </w:tcPr>
          <w:p w14:paraId="0F097F4A" w14:textId="77777777" w:rsidR="006F4D3A" w:rsidRPr="00515CF0" w:rsidRDefault="006F4D3A" w:rsidP="00F16257">
            <w:pPr>
              <w:jc w:val="both"/>
              <w:rPr>
                <w:rFonts w:asciiTheme="majorHAnsi" w:eastAsia="Times New Roman" w:hAnsiTheme="majorHAnsi" w:cstheme="majorHAnsi"/>
                <w:b/>
                <w:sz w:val="16"/>
                <w:szCs w:val="16"/>
                <w:lang w:eastAsia="en-US"/>
              </w:rPr>
            </w:pPr>
            <w:r w:rsidRPr="00515CF0">
              <w:rPr>
                <w:rFonts w:asciiTheme="majorHAnsi" w:eastAsia="Times New Roman" w:hAnsiTheme="majorHAnsi" w:cstheme="majorHAnsi"/>
                <w:b/>
                <w:sz w:val="16"/>
                <w:szCs w:val="16"/>
                <w:lang w:eastAsia="en-US"/>
              </w:rPr>
              <w:t>5</w:t>
            </w:r>
          </w:p>
        </w:tc>
        <w:tc>
          <w:tcPr>
            <w:tcW w:w="590" w:type="dxa"/>
            <w:tcBorders>
              <w:top w:val="single" w:sz="4" w:space="0" w:color="auto"/>
              <w:left w:val="single" w:sz="4" w:space="0" w:color="auto"/>
              <w:bottom w:val="single" w:sz="4" w:space="0" w:color="auto"/>
              <w:right w:val="single" w:sz="4" w:space="0" w:color="auto"/>
            </w:tcBorders>
            <w:shd w:val="clear" w:color="auto" w:fill="auto"/>
          </w:tcPr>
          <w:p w14:paraId="7A64E3D7" w14:textId="77777777" w:rsidR="006F4D3A" w:rsidRPr="00515CF0" w:rsidRDefault="006F4D3A" w:rsidP="00F16257">
            <w:pPr>
              <w:jc w:val="both"/>
              <w:rPr>
                <w:rFonts w:asciiTheme="majorHAnsi" w:eastAsia="Times New Roman" w:hAnsiTheme="majorHAnsi" w:cstheme="majorHAnsi"/>
                <w:b/>
                <w:sz w:val="16"/>
                <w:szCs w:val="16"/>
                <w:lang w:eastAsia="en-US"/>
              </w:rPr>
            </w:pPr>
            <w:r w:rsidRPr="00515CF0">
              <w:rPr>
                <w:rFonts w:asciiTheme="majorHAnsi" w:eastAsia="Times New Roman" w:hAnsiTheme="majorHAnsi" w:cstheme="majorHAnsi"/>
                <w:b/>
                <w:sz w:val="16"/>
                <w:szCs w:val="16"/>
                <w:lang w:eastAsia="en-US"/>
              </w:rPr>
              <w:t>6</w:t>
            </w:r>
          </w:p>
        </w:tc>
        <w:tc>
          <w:tcPr>
            <w:tcW w:w="590" w:type="dxa"/>
            <w:tcBorders>
              <w:top w:val="single" w:sz="4" w:space="0" w:color="auto"/>
              <w:left w:val="single" w:sz="4" w:space="0" w:color="auto"/>
              <w:bottom w:val="single" w:sz="4" w:space="0" w:color="auto"/>
              <w:right w:val="single" w:sz="4" w:space="0" w:color="auto"/>
            </w:tcBorders>
            <w:shd w:val="clear" w:color="auto" w:fill="auto"/>
          </w:tcPr>
          <w:p w14:paraId="0B85BB86" w14:textId="77777777" w:rsidR="006F4D3A" w:rsidRPr="00515CF0" w:rsidRDefault="006F4D3A" w:rsidP="00F16257">
            <w:pPr>
              <w:jc w:val="both"/>
              <w:rPr>
                <w:rFonts w:asciiTheme="majorHAnsi" w:eastAsia="Times New Roman" w:hAnsiTheme="majorHAnsi" w:cstheme="majorHAnsi"/>
                <w:b/>
                <w:sz w:val="16"/>
                <w:szCs w:val="16"/>
                <w:lang w:eastAsia="en-US"/>
              </w:rPr>
            </w:pPr>
            <w:r w:rsidRPr="00515CF0">
              <w:rPr>
                <w:rFonts w:asciiTheme="majorHAnsi" w:eastAsia="Times New Roman" w:hAnsiTheme="majorHAnsi" w:cstheme="majorHAnsi"/>
                <w:b/>
                <w:sz w:val="16"/>
                <w:szCs w:val="16"/>
                <w:lang w:eastAsia="en-US"/>
              </w:rPr>
              <w:t>7</w:t>
            </w:r>
          </w:p>
        </w:tc>
        <w:tc>
          <w:tcPr>
            <w:tcW w:w="590" w:type="dxa"/>
            <w:tcBorders>
              <w:top w:val="single" w:sz="4" w:space="0" w:color="auto"/>
              <w:left w:val="single" w:sz="4" w:space="0" w:color="auto"/>
              <w:bottom w:val="single" w:sz="4" w:space="0" w:color="auto"/>
              <w:right w:val="single" w:sz="4" w:space="0" w:color="auto"/>
            </w:tcBorders>
            <w:shd w:val="clear" w:color="auto" w:fill="auto"/>
          </w:tcPr>
          <w:p w14:paraId="2477C671" w14:textId="77777777" w:rsidR="006F4D3A" w:rsidRPr="00515CF0" w:rsidRDefault="006F4D3A" w:rsidP="00F16257">
            <w:pPr>
              <w:jc w:val="both"/>
              <w:rPr>
                <w:rFonts w:asciiTheme="majorHAnsi" w:eastAsia="Times New Roman" w:hAnsiTheme="majorHAnsi" w:cstheme="majorHAnsi"/>
                <w:b/>
                <w:sz w:val="16"/>
                <w:szCs w:val="16"/>
                <w:lang w:eastAsia="en-US"/>
              </w:rPr>
            </w:pPr>
            <w:r w:rsidRPr="00515CF0">
              <w:rPr>
                <w:rFonts w:asciiTheme="majorHAnsi" w:eastAsia="Times New Roman" w:hAnsiTheme="majorHAnsi" w:cstheme="majorHAnsi"/>
                <w:b/>
                <w:sz w:val="16"/>
                <w:szCs w:val="16"/>
                <w:lang w:eastAsia="en-US"/>
              </w:rPr>
              <w:t>8</w:t>
            </w:r>
          </w:p>
        </w:tc>
      </w:tr>
      <w:tr w:rsidR="006F4D3A" w:rsidRPr="00515CF0" w14:paraId="757F4388" w14:textId="77777777" w:rsidTr="006F4D3A">
        <w:tc>
          <w:tcPr>
            <w:tcW w:w="4487" w:type="dxa"/>
            <w:tcBorders>
              <w:top w:val="single" w:sz="4" w:space="0" w:color="auto"/>
              <w:right w:val="single" w:sz="4" w:space="0" w:color="auto"/>
            </w:tcBorders>
          </w:tcPr>
          <w:p w14:paraId="615F35F3" w14:textId="77777777" w:rsidR="006F4D3A" w:rsidRPr="00515CF0" w:rsidRDefault="006F4D3A" w:rsidP="00F16257">
            <w:pPr>
              <w:jc w:val="both"/>
              <w:rPr>
                <w:rFonts w:asciiTheme="majorHAnsi" w:eastAsia="Sylfaen" w:hAnsiTheme="majorHAnsi" w:cstheme="majorHAnsi"/>
                <w:b/>
                <w:sz w:val="16"/>
                <w:szCs w:val="16"/>
                <w:lang w:eastAsia="en-US"/>
              </w:rPr>
            </w:pPr>
            <w:r w:rsidRPr="00515CF0">
              <w:rPr>
                <w:rFonts w:asciiTheme="majorHAnsi" w:eastAsia="Sylfaen" w:hAnsiTheme="majorHAnsi" w:cstheme="majorHAnsi"/>
                <w:b/>
                <w:sz w:val="16"/>
                <w:szCs w:val="16"/>
                <w:lang w:eastAsia="en-US"/>
              </w:rPr>
              <w:t>Stage 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1CA58AAA"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15C55801"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4ECDD356"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49317431"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09434F80"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764D90DA"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18BAF39C"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57205740" w14:textId="77777777" w:rsidR="006F4D3A" w:rsidRPr="00515CF0" w:rsidRDefault="006F4D3A" w:rsidP="00F16257">
            <w:pPr>
              <w:jc w:val="both"/>
              <w:rPr>
                <w:rFonts w:asciiTheme="majorHAnsi" w:eastAsia="Times New Roman" w:hAnsiTheme="majorHAnsi" w:cstheme="majorHAnsi"/>
                <w:sz w:val="16"/>
                <w:szCs w:val="16"/>
                <w:lang w:eastAsia="en-US"/>
              </w:rPr>
            </w:pPr>
          </w:p>
        </w:tc>
      </w:tr>
      <w:tr w:rsidR="006F4D3A" w:rsidRPr="00515CF0" w14:paraId="6C620F0D" w14:textId="77777777" w:rsidTr="006F4D3A">
        <w:tc>
          <w:tcPr>
            <w:tcW w:w="4487" w:type="dxa"/>
            <w:tcBorders>
              <w:right w:val="single" w:sz="4" w:space="0" w:color="auto"/>
            </w:tcBorders>
          </w:tcPr>
          <w:p w14:paraId="2E4EA80D" w14:textId="77777777" w:rsidR="006F4D3A" w:rsidRPr="00515CF0" w:rsidRDefault="006F4D3A" w:rsidP="00F16257">
            <w:pPr>
              <w:jc w:val="both"/>
              <w:rPr>
                <w:rFonts w:asciiTheme="majorHAnsi" w:eastAsia="Sylfaen" w:hAnsiTheme="majorHAnsi" w:cstheme="majorHAnsi"/>
                <w:sz w:val="16"/>
                <w:szCs w:val="16"/>
                <w:lang w:eastAsia="en-US"/>
              </w:rPr>
            </w:pPr>
            <w:r w:rsidRPr="00515CF0">
              <w:rPr>
                <w:rFonts w:asciiTheme="majorHAnsi" w:eastAsia="Sylfaen" w:hAnsiTheme="majorHAnsi" w:cstheme="majorHAnsi"/>
                <w:sz w:val="16"/>
                <w:szCs w:val="16"/>
                <w:lang w:eastAsia="en-US"/>
              </w:rPr>
              <w:t>Document Review</w:t>
            </w:r>
          </w:p>
        </w:tc>
        <w:tc>
          <w:tcPr>
            <w:tcW w:w="59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A91C714"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auto"/>
          </w:tcPr>
          <w:p w14:paraId="658F0143"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3A304D9E"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6A1E7DEA"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2ED159D8"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30707329"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64FEAE81"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19797710" w14:textId="77777777" w:rsidR="006F4D3A" w:rsidRPr="00515CF0" w:rsidRDefault="006F4D3A" w:rsidP="00F16257">
            <w:pPr>
              <w:jc w:val="both"/>
              <w:rPr>
                <w:rFonts w:asciiTheme="majorHAnsi" w:eastAsia="Times New Roman" w:hAnsiTheme="majorHAnsi" w:cstheme="majorHAnsi"/>
                <w:sz w:val="16"/>
                <w:szCs w:val="16"/>
                <w:lang w:eastAsia="en-US"/>
              </w:rPr>
            </w:pPr>
          </w:p>
        </w:tc>
      </w:tr>
      <w:tr w:rsidR="006F4D3A" w:rsidRPr="00515CF0" w14:paraId="0A752614" w14:textId="77777777" w:rsidTr="006F4D3A">
        <w:tc>
          <w:tcPr>
            <w:tcW w:w="4487" w:type="dxa"/>
            <w:tcBorders>
              <w:right w:val="single" w:sz="4" w:space="0" w:color="auto"/>
            </w:tcBorders>
          </w:tcPr>
          <w:p w14:paraId="08E867BA" w14:textId="77777777" w:rsidR="006F4D3A" w:rsidRPr="00515CF0" w:rsidRDefault="006F4D3A" w:rsidP="00F16257">
            <w:pPr>
              <w:jc w:val="both"/>
              <w:rPr>
                <w:rFonts w:asciiTheme="majorHAnsi" w:eastAsia="Sylfaen" w:hAnsiTheme="majorHAnsi" w:cstheme="majorHAnsi"/>
                <w:sz w:val="16"/>
                <w:szCs w:val="16"/>
                <w:lang w:eastAsia="en-US"/>
              </w:rPr>
            </w:pPr>
            <w:r w:rsidRPr="00515CF0">
              <w:rPr>
                <w:rFonts w:asciiTheme="majorHAnsi" w:eastAsia="Sylfaen" w:hAnsiTheme="majorHAnsi" w:cstheme="majorHAnsi"/>
                <w:sz w:val="16"/>
                <w:szCs w:val="16"/>
                <w:lang w:eastAsia="en-US"/>
              </w:rPr>
              <w:t xml:space="preserve">Key informant interviews </w:t>
            </w:r>
          </w:p>
        </w:tc>
        <w:tc>
          <w:tcPr>
            <w:tcW w:w="59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6E003BD"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6AFC5A33"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6E1D4FFC"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75926151"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0BAC5A7D"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6E181CD6"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2E173D1F"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4C90A002" w14:textId="77777777" w:rsidR="006F4D3A" w:rsidRPr="00515CF0" w:rsidRDefault="006F4D3A" w:rsidP="00F16257">
            <w:pPr>
              <w:jc w:val="both"/>
              <w:rPr>
                <w:rFonts w:asciiTheme="majorHAnsi" w:eastAsia="Times New Roman" w:hAnsiTheme="majorHAnsi" w:cstheme="majorHAnsi"/>
                <w:sz w:val="16"/>
                <w:szCs w:val="16"/>
                <w:lang w:eastAsia="en-US"/>
              </w:rPr>
            </w:pPr>
          </w:p>
        </w:tc>
      </w:tr>
      <w:tr w:rsidR="006F4D3A" w:rsidRPr="00515CF0" w14:paraId="4117F4AF" w14:textId="77777777" w:rsidTr="006F4D3A">
        <w:tc>
          <w:tcPr>
            <w:tcW w:w="4487" w:type="dxa"/>
            <w:tcBorders>
              <w:right w:val="single" w:sz="4" w:space="0" w:color="auto"/>
            </w:tcBorders>
          </w:tcPr>
          <w:p w14:paraId="4B42732E" w14:textId="340D9836" w:rsidR="006F4D3A" w:rsidRPr="00515CF0" w:rsidRDefault="006F4D3A" w:rsidP="00F16257">
            <w:pPr>
              <w:jc w:val="both"/>
              <w:rPr>
                <w:rFonts w:asciiTheme="majorHAnsi" w:eastAsia="Sylfaen" w:hAnsiTheme="majorHAnsi" w:cstheme="majorHAnsi"/>
                <w:sz w:val="16"/>
                <w:szCs w:val="16"/>
                <w:lang w:eastAsia="en-US"/>
              </w:rPr>
            </w:pPr>
            <w:r w:rsidRPr="00515CF0">
              <w:rPr>
                <w:rFonts w:asciiTheme="majorHAnsi" w:eastAsia="Sylfaen" w:hAnsiTheme="majorHAnsi" w:cstheme="majorHAnsi"/>
                <w:sz w:val="16"/>
                <w:szCs w:val="16"/>
                <w:lang w:eastAsia="en-US"/>
              </w:rPr>
              <w:t xml:space="preserve">Statistical data collection on </w:t>
            </w:r>
            <w:r>
              <w:rPr>
                <w:rFonts w:asciiTheme="majorHAnsi" w:eastAsia="Sylfaen" w:hAnsiTheme="majorHAnsi" w:cstheme="majorHAnsi"/>
                <w:sz w:val="16"/>
                <w:szCs w:val="16"/>
                <w:lang w:eastAsia="en-US"/>
              </w:rPr>
              <w:t>COVID-19 Response</w:t>
            </w:r>
          </w:p>
        </w:tc>
        <w:tc>
          <w:tcPr>
            <w:tcW w:w="59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F49821A"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521109D8"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72B37A9C"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6A739606"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6F4F5EFC"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52FBDE96"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2396EFD8"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707BF2A7" w14:textId="77777777" w:rsidR="006F4D3A" w:rsidRPr="00515CF0" w:rsidRDefault="006F4D3A" w:rsidP="00F16257">
            <w:pPr>
              <w:jc w:val="both"/>
              <w:rPr>
                <w:rFonts w:asciiTheme="majorHAnsi" w:eastAsia="Times New Roman" w:hAnsiTheme="majorHAnsi" w:cstheme="majorHAnsi"/>
                <w:sz w:val="16"/>
                <w:szCs w:val="16"/>
                <w:lang w:eastAsia="en-US"/>
              </w:rPr>
            </w:pPr>
          </w:p>
        </w:tc>
      </w:tr>
      <w:tr w:rsidR="006F4D3A" w:rsidRPr="00515CF0" w14:paraId="5E18E3AA" w14:textId="77777777" w:rsidTr="006F4D3A">
        <w:tc>
          <w:tcPr>
            <w:tcW w:w="4487" w:type="dxa"/>
            <w:tcBorders>
              <w:right w:val="single" w:sz="4" w:space="0" w:color="auto"/>
            </w:tcBorders>
          </w:tcPr>
          <w:p w14:paraId="4F12C520" w14:textId="77777777" w:rsidR="006F4D3A" w:rsidRPr="00515CF0" w:rsidRDefault="006F4D3A" w:rsidP="00F16257">
            <w:pPr>
              <w:jc w:val="both"/>
              <w:rPr>
                <w:rFonts w:asciiTheme="majorHAnsi" w:eastAsia="Sylfaen" w:hAnsiTheme="majorHAnsi" w:cstheme="majorHAnsi"/>
                <w:sz w:val="16"/>
                <w:szCs w:val="16"/>
                <w:lang w:eastAsia="en-US"/>
              </w:rPr>
            </w:pPr>
            <w:r w:rsidRPr="00515CF0">
              <w:rPr>
                <w:rFonts w:asciiTheme="majorHAnsi" w:eastAsia="Sylfaen" w:hAnsiTheme="majorHAnsi" w:cstheme="majorHAnsi"/>
                <w:sz w:val="16"/>
                <w:szCs w:val="16"/>
                <w:lang w:eastAsia="en-US"/>
              </w:rPr>
              <w:t>Data analysis fine tuning of research instruments</w:t>
            </w: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1E213784"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B5B8317"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auto"/>
          </w:tcPr>
          <w:p w14:paraId="00C0F5C8"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05A1A6D8"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258A4DE4"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45DAE340"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794CEA5F"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16C8380C" w14:textId="77777777" w:rsidR="006F4D3A" w:rsidRPr="00515CF0" w:rsidRDefault="006F4D3A" w:rsidP="00F16257">
            <w:pPr>
              <w:jc w:val="both"/>
              <w:rPr>
                <w:rFonts w:asciiTheme="majorHAnsi" w:eastAsia="Times New Roman" w:hAnsiTheme="majorHAnsi" w:cstheme="majorHAnsi"/>
                <w:sz w:val="16"/>
                <w:szCs w:val="16"/>
                <w:lang w:eastAsia="en-US"/>
              </w:rPr>
            </w:pPr>
          </w:p>
        </w:tc>
      </w:tr>
      <w:tr w:rsidR="006F4D3A" w:rsidRPr="00515CF0" w14:paraId="5B3FBC39" w14:textId="77777777" w:rsidTr="006F4D3A">
        <w:tc>
          <w:tcPr>
            <w:tcW w:w="4487" w:type="dxa"/>
            <w:tcBorders>
              <w:right w:val="single" w:sz="4" w:space="0" w:color="auto"/>
            </w:tcBorders>
          </w:tcPr>
          <w:p w14:paraId="7BE2D47C" w14:textId="77777777" w:rsidR="006F4D3A" w:rsidRPr="00515CF0" w:rsidRDefault="006F4D3A" w:rsidP="00F16257">
            <w:pPr>
              <w:jc w:val="both"/>
              <w:rPr>
                <w:rFonts w:asciiTheme="majorHAnsi" w:eastAsia="Sylfaen" w:hAnsiTheme="majorHAnsi" w:cstheme="majorHAnsi"/>
                <w:b/>
                <w:sz w:val="16"/>
                <w:szCs w:val="16"/>
                <w:lang w:eastAsia="en-US"/>
              </w:rPr>
            </w:pPr>
            <w:r w:rsidRPr="00515CF0">
              <w:rPr>
                <w:rFonts w:asciiTheme="majorHAnsi" w:eastAsia="Sylfaen" w:hAnsiTheme="majorHAnsi" w:cstheme="majorHAnsi"/>
                <w:b/>
                <w:sz w:val="16"/>
                <w:szCs w:val="16"/>
                <w:lang w:eastAsia="en-US"/>
              </w:rPr>
              <w:t>Stage 2</w:t>
            </w: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47FE902F"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0BEE2DB9"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4B5CD318"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431B2519"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036B00B5"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3B06E450"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1271B29F"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2EDE4445" w14:textId="77777777" w:rsidR="006F4D3A" w:rsidRPr="00515CF0" w:rsidRDefault="006F4D3A" w:rsidP="00F16257">
            <w:pPr>
              <w:jc w:val="both"/>
              <w:rPr>
                <w:rFonts w:asciiTheme="majorHAnsi" w:eastAsia="Times New Roman" w:hAnsiTheme="majorHAnsi" w:cstheme="majorHAnsi"/>
                <w:sz w:val="16"/>
                <w:szCs w:val="16"/>
                <w:lang w:eastAsia="en-US"/>
              </w:rPr>
            </w:pPr>
          </w:p>
        </w:tc>
      </w:tr>
      <w:tr w:rsidR="006F4D3A" w:rsidRPr="00515CF0" w14:paraId="124CD3F2" w14:textId="77777777" w:rsidTr="006F4D3A">
        <w:tc>
          <w:tcPr>
            <w:tcW w:w="4487" w:type="dxa"/>
            <w:tcBorders>
              <w:right w:val="single" w:sz="4" w:space="0" w:color="auto"/>
            </w:tcBorders>
          </w:tcPr>
          <w:p w14:paraId="3724B8B7" w14:textId="77777777" w:rsidR="006F4D3A" w:rsidRPr="00515CF0" w:rsidRDefault="006F4D3A" w:rsidP="00F16257">
            <w:pPr>
              <w:jc w:val="both"/>
              <w:rPr>
                <w:rFonts w:asciiTheme="majorHAnsi" w:eastAsia="Sylfaen" w:hAnsiTheme="majorHAnsi" w:cstheme="majorHAnsi"/>
                <w:sz w:val="16"/>
                <w:szCs w:val="16"/>
                <w:lang w:eastAsia="en-US"/>
              </w:rPr>
            </w:pPr>
            <w:r w:rsidRPr="00515CF0">
              <w:rPr>
                <w:rFonts w:asciiTheme="majorHAnsi" w:eastAsia="Sylfaen" w:hAnsiTheme="majorHAnsi" w:cstheme="majorHAnsi"/>
                <w:sz w:val="16"/>
                <w:szCs w:val="16"/>
                <w:lang w:eastAsia="en-US"/>
              </w:rPr>
              <w:t xml:space="preserve">In-depth interviews with the stakeholders </w:t>
            </w: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16CF0E70"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0699CE1"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EB43470"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hemeFill="background1"/>
          </w:tcPr>
          <w:p w14:paraId="324C7837"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auto"/>
          </w:tcPr>
          <w:p w14:paraId="3AACB36B"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0E6BD6C2"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5A1A7D82"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454DC46F" w14:textId="77777777" w:rsidR="006F4D3A" w:rsidRPr="00515CF0" w:rsidRDefault="006F4D3A" w:rsidP="00F16257">
            <w:pPr>
              <w:jc w:val="both"/>
              <w:rPr>
                <w:rFonts w:asciiTheme="majorHAnsi" w:eastAsia="Times New Roman" w:hAnsiTheme="majorHAnsi" w:cstheme="majorHAnsi"/>
                <w:sz w:val="16"/>
                <w:szCs w:val="16"/>
                <w:lang w:eastAsia="en-US"/>
              </w:rPr>
            </w:pPr>
          </w:p>
        </w:tc>
      </w:tr>
      <w:tr w:rsidR="006F4D3A" w:rsidRPr="00515CF0" w14:paraId="5517CF56" w14:textId="77777777" w:rsidTr="006F4D3A">
        <w:tc>
          <w:tcPr>
            <w:tcW w:w="4487" w:type="dxa"/>
            <w:tcBorders>
              <w:right w:val="single" w:sz="4" w:space="0" w:color="auto"/>
            </w:tcBorders>
          </w:tcPr>
          <w:p w14:paraId="4523A83E" w14:textId="77777777" w:rsidR="006F4D3A" w:rsidRPr="00515CF0" w:rsidRDefault="006F4D3A" w:rsidP="00F16257">
            <w:pPr>
              <w:jc w:val="both"/>
              <w:rPr>
                <w:rFonts w:asciiTheme="majorHAnsi" w:eastAsia="Sylfaen" w:hAnsiTheme="majorHAnsi" w:cstheme="majorHAnsi"/>
                <w:b/>
                <w:sz w:val="16"/>
                <w:szCs w:val="16"/>
                <w:lang w:eastAsia="en-US"/>
              </w:rPr>
            </w:pPr>
            <w:r w:rsidRPr="00515CF0">
              <w:rPr>
                <w:rFonts w:asciiTheme="majorHAnsi" w:eastAsia="Sylfaen" w:hAnsiTheme="majorHAnsi" w:cstheme="majorHAnsi"/>
                <w:b/>
                <w:sz w:val="16"/>
                <w:szCs w:val="16"/>
                <w:lang w:eastAsia="en-US"/>
              </w:rPr>
              <w:t>Data Analysis and Report/Publication Production</w:t>
            </w: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03FA2553"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2E76899D"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148A292D"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135A4E5C"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0A7CDCF1"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7334C1E5"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49FF5ECF"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64E50556" w14:textId="77777777" w:rsidR="006F4D3A" w:rsidRPr="00515CF0" w:rsidRDefault="006F4D3A" w:rsidP="00F16257">
            <w:pPr>
              <w:jc w:val="both"/>
              <w:rPr>
                <w:rFonts w:asciiTheme="majorHAnsi" w:eastAsia="Times New Roman" w:hAnsiTheme="majorHAnsi" w:cstheme="majorHAnsi"/>
                <w:sz w:val="16"/>
                <w:szCs w:val="16"/>
                <w:lang w:eastAsia="en-US"/>
              </w:rPr>
            </w:pPr>
          </w:p>
        </w:tc>
      </w:tr>
      <w:tr w:rsidR="006F4D3A" w:rsidRPr="00515CF0" w14:paraId="0243F9C4" w14:textId="77777777" w:rsidTr="006F4D3A">
        <w:tc>
          <w:tcPr>
            <w:tcW w:w="4487" w:type="dxa"/>
            <w:tcBorders>
              <w:right w:val="single" w:sz="4" w:space="0" w:color="auto"/>
            </w:tcBorders>
          </w:tcPr>
          <w:p w14:paraId="0D7A02E4" w14:textId="77777777" w:rsidR="006F4D3A" w:rsidRPr="00515CF0" w:rsidRDefault="006F4D3A" w:rsidP="00F16257">
            <w:pPr>
              <w:jc w:val="both"/>
              <w:rPr>
                <w:rFonts w:asciiTheme="majorHAnsi" w:eastAsia="Sylfaen" w:hAnsiTheme="majorHAnsi" w:cstheme="majorHAnsi"/>
                <w:sz w:val="16"/>
                <w:szCs w:val="16"/>
                <w:lang w:eastAsia="en-US"/>
              </w:rPr>
            </w:pPr>
            <w:r w:rsidRPr="00515CF0">
              <w:rPr>
                <w:rFonts w:asciiTheme="majorHAnsi" w:eastAsia="Sylfaen" w:hAnsiTheme="majorHAnsi" w:cstheme="majorHAnsi"/>
                <w:sz w:val="16"/>
                <w:szCs w:val="16"/>
                <w:lang w:eastAsia="en-US"/>
              </w:rPr>
              <w:t xml:space="preserve">Production of the draft case study report </w:t>
            </w: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1CCDA6D8"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188660EC"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7640F6E7"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54CEC76"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hemeFill="background1"/>
          </w:tcPr>
          <w:p w14:paraId="63183E1C"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3413B0CF"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7272B99B"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hemeFill="background1"/>
          </w:tcPr>
          <w:p w14:paraId="3647694B" w14:textId="77777777" w:rsidR="006F4D3A" w:rsidRPr="00515CF0" w:rsidRDefault="006F4D3A" w:rsidP="00F16257">
            <w:pPr>
              <w:jc w:val="both"/>
              <w:rPr>
                <w:rFonts w:asciiTheme="majorHAnsi" w:eastAsia="Times New Roman" w:hAnsiTheme="majorHAnsi" w:cstheme="majorHAnsi"/>
                <w:sz w:val="16"/>
                <w:szCs w:val="16"/>
                <w:lang w:eastAsia="en-US"/>
              </w:rPr>
            </w:pPr>
          </w:p>
        </w:tc>
      </w:tr>
      <w:tr w:rsidR="006F4D3A" w:rsidRPr="00515CF0" w14:paraId="3D5D1F81" w14:textId="77777777" w:rsidTr="006F4D3A">
        <w:tc>
          <w:tcPr>
            <w:tcW w:w="4487" w:type="dxa"/>
            <w:tcBorders>
              <w:right w:val="single" w:sz="4" w:space="0" w:color="auto"/>
            </w:tcBorders>
          </w:tcPr>
          <w:p w14:paraId="04D187D5" w14:textId="6EB6AB4F" w:rsidR="006F4D3A" w:rsidRPr="00515CF0" w:rsidRDefault="006F4D3A" w:rsidP="00F16257">
            <w:pPr>
              <w:jc w:val="both"/>
              <w:rPr>
                <w:rFonts w:asciiTheme="majorHAnsi" w:eastAsia="Sylfaen" w:hAnsiTheme="majorHAnsi" w:cstheme="majorHAnsi"/>
                <w:sz w:val="16"/>
                <w:szCs w:val="16"/>
                <w:lang w:eastAsia="en-US"/>
              </w:rPr>
            </w:pPr>
            <w:r w:rsidRPr="00515CF0">
              <w:rPr>
                <w:rFonts w:asciiTheme="majorHAnsi" w:eastAsia="Sylfaen" w:hAnsiTheme="majorHAnsi" w:cstheme="majorHAnsi"/>
                <w:sz w:val="16"/>
                <w:szCs w:val="16"/>
                <w:lang w:eastAsia="en-US"/>
              </w:rPr>
              <w:t xml:space="preserve">Review of the draft case study report </w:t>
            </w: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7554AFA0"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4CE27544"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26B98ED7"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37A99F7A"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157EF34"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hemeFill="background1"/>
          </w:tcPr>
          <w:p w14:paraId="2580563D"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47792C6A"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hemeFill="background1"/>
          </w:tcPr>
          <w:p w14:paraId="0EA9C414" w14:textId="77777777" w:rsidR="006F4D3A" w:rsidRPr="00515CF0" w:rsidRDefault="006F4D3A" w:rsidP="00F16257">
            <w:pPr>
              <w:jc w:val="both"/>
              <w:rPr>
                <w:rFonts w:asciiTheme="majorHAnsi" w:eastAsia="Times New Roman" w:hAnsiTheme="majorHAnsi" w:cstheme="majorHAnsi"/>
                <w:sz w:val="16"/>
                <w:szCs w:val="16"/>
                <w:lang w:eastAsia="en-US"/>
              </w:rPr>
            </w:pPr>
          </w:p>
        </w:tc>
      </w:tr>
      <w:tr w:rsidR="006F4D3A" w:rsidRPr="00515CF0" w14:paraId="7ACD1F51" w14:textId="77777777" w:rsidTr="006F4D3A">
        <w:tc>
          <w:tcPr>
            <w:tcW w:w="4487" w:type="dxa"/>
            <w:tcBorders>
              <w:right w:val="single" w:sz="4" w:space="0" w:color="auto"/>
            </w:tcBorders>
          </w:tcPr>
          <w:p w14:paraId="388E7693" w14:textId="77777777" w:rsidR="006F4D3A" w:rsidRPr="00515CF0" w:rsidRDefault="006F4D3A" w:rsidP="00F16257">
            <w:pPr>
              <w:jc w:val="both"/>
              <w:rPr>
                <w:rFonts w:asciiTheme="majorHAnsi" w:eastAsia="Sylfaen" w:hAnsiTheme="majorHAnsi" w:cstheme="majorHAnsi"/>
                <w:sz w:val="16"/>
                <w:szCs w:val="16"/>
                <w:lang w:eastAsia="en-US"/>
              </w:rPr>
            </w:pPr>
            <w:r w:rsidRPr="00515CF0">
              <w:rPr>
                <w:rFonts w:asciiTheme="majorHAnsi" w:eastAsia="Sylfaen" w:hAnsiTheme="majorHAnsi" w:cstheme="majorHAnsi"/>
                <w:sz w:val="16"/>
                <w:szCs w:val="16"/>
                <w:lang w:eastAsia="en-US"/>
              </w:rPr>
              <w:t>Final Case Study Report and the policy brief</w:t>
            </w: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4C67AFA8"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40CA9A18"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3786714C"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3BB53DA3"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330A6591"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30E72CDD" w14:textId="0BB3C524" w:rsidR="006F4D3A" w:rsidRPr="00515CF0" w:rsidRDefault="006F4D3A" w:rsidP="00F16257">
            <w:pPr>
              <w:jc w:val="both"/>
              <w:rPr>
                <w:rFonts w:asciiTheme="majorHAnsi" w:eastAsia="Times New Roman" w:hAnsiTheme="majorHAnsi" w:cstheme="majorHAnsi"/>
                <w:sz w:val="16"/>
                <w:szCs w:val="16"/>
                <w:lang w:eastAsia="en-US"/>
              </w:rPr>
            </w:pPr>
            <w:r w:rsidRPr="00515CF0">
              <w:rPr>
                <w:rFonts w:asciiTheme="majorHAnsi" w:eastAsia="Times New Roman" w:hAnsiTheme="majorHAnsi" w:cstheme="majorHAnsi"/>
                <w:noProof/>
                <w:sz w:val="16"/>
                <w:szCs w:val="16"/>
                <w:lang w:eastAsia="en-US"/>
              </w:rPr>
              <mc:AlternateContent>
                <mc:Choice Requires="wps">
                  <w:drawing>
                    <wp:anchor distT="0" distB="0" distL="114300" distR="114300" simplePos="0" relativeHeight="251675136" behindDoc="0" locked="0" layoutInCell="1" allowOverlap="1" wp14:anchorId="433F2A67" wp14:editId="58E99BC3">
                      <wp:simplePos x="0" y="0"/>
                      <wp:positionH relativeFrom="column">
                        <wp:posOffset>18695</wp:posOffset>
                      </wp:positionH>
                      <wp:positionV relativeFrom="paragraph">
                        <wp:posOffset>47538</wp:posOffset>
                      </wp:positionV>
                      <wp:extent cx="114300" cy="114300"/>
                      <wp:effectExtent l="50800" t="50800" r="38100" b="8890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D1F56"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AutoShape 15" o:spid="_x0000_s1026" type="#_x0000_t187" style="position:absolute;margin-left:1.45pt;margin-top:3.75pt;width:9pt;height:9p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"/>
                  </w:pict>
                </mc:Fallback>
              </mc:AlternateContent>
            </w: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2FB0F52D" w14:textId="190C1B0E"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32BA7F7D" w14:textId="506C4966" w:rsidR="006F4D3A" w:rsidRPr="00515CF0" w:rsidRDefault="006F4D3A" w:rsidP="00F16257">
            <w:pPr>
              <w:jc w:val="both"/>
              <w:rPr>
                <w:rFonts w:asciiTheme="majorHAnsi" w:eastAsia="Times New Roman" w:hAnsiTheme="majorHAnsi" w:cstheme="majorHAnsi"/>
                <w:sz w:val="16"/>
                <w:szCs w:val="16"/>
                <w:lang w:eastAsia="en-US"/>
              </w:rPr>
            </w:pPr>
          </w:p>
        </w:tc>
      </w:tr>
      <w:tr w:rsidR="006F4D3A" w:rsidRPr="00515CF0" w14:paraId="5389A99E" w14:textId="77777777" w:rsidTr="006F4D3A">
        <w:tc>
          <w:tcPr>
            <w:tcW w:w="4487" w:type="dxa"/>
            <w:tcBorders>
              <w:right w:val="single" w:sz="4" w:space="0" w:color="auto"/>
            </w:tcBorders>
          </w:tcPr>
          <w:p w14:paraId="68AF881B" w14:textId="633CFC6C" w:rsidR="006F4D3A" w:rsidRPr="00515CF0" w:rsidRDefault="006F4D3A" w:rsidP="00F16257">
            <w:pPr>
              <w:jc w:val="both"/>
              <w:rPr>
                <w:rFonts w:asciiTheme="majorHAnsi" w:eastAsia="Sylfaen" w:hAnsiTheme="majorHAnsi" w:cstheme="majorHAnsi"/>
                <w:sz w:val="16"/>
                <w:szCs w:val="16"/>
                <w:lang w:eastAsia="en-US"/>
              </w:rPr>
            </w:pPr>
            <w:r w:rsidRPr="00515CF0">
              <w:rPr>
                <w:rFonts w:asciiTheme="majorHAnsi" w:eastAsia="Sylfaen" w:hAnsiTheme="majorHAnsi" w:cstheme="majorHAnsi"/>
                <w:sz w:val="16"/>
                <w:szCs w:val="16"/>
                <w:lang w:eastAsia="en-US"/>
              </w:rPr>
              <w:t>National Dissemination Workshop</w:t>
            </w: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310558D0"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352CF7B5"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1927B3EC"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232E1E0E"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3B43D734"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34A3B0BF" w14:textId="1166A5F3"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06C05479" w14:textId="23ABBBC0" w:rsidR="006F4D3A" w:rsidRPr="00515CF0" w:rsidRDefault="006F4D3A" w:rsidP="00F16257">
            <w:pPr>
              <w:jc w:val="both"/>
              <w:rPr>
                <w:rFonts w:asciiTheme="majorHAnsi" w:eastAsia="Times New Roman" w:hAnsiTheme="majorHAnsi" w:cstheme="majorHAnsi"/>
                <w:sz w:val="16"/>
                <w:szCs w:val="16"/>
                <w:lang w:eastAsia="en-US"/>
              </w:rPr>
            </w:pPr>
            <w:r w:rsidRPr="00515CF0">
              <w:rPr>
                <w:rFonts w:asciiTheme="majorHAnsi" w:eastAsia="Times New Roman" w:hAnsiTheme="majorHAnsi" w:cstheme="majorHAnsi"/>
                <w:noProof/>
                <w:sz w:val="16"/>
                <w:szCs w:val="16"/>
                <w:lang w:eastAsia="en-US"/>
              </w:rPr>
              <mc:AlternateContent>
                <mc:Choice Requires="wps">
                  <w:drawing>
                    <wp:anchor distT="0" distB="0" distL="114300" distR="114300" simplePos="0" relativeHeight="251676160" behindDoc="0" locked="0" layoutInCell="1" allowOverlap="1" wp14:anchorId="690454B8" wp14:editId="5EC12CF4">
                      <wp:simplePos x="0" y="0"/>
                      <wp:positionH relativeFrom="column">
                        <wp:posOffset>23185</wp:posOffset>
                      </wp:positionH>
                      <wp:positionV relativeFrom="paragraph">
                        <wp:posOffset>32376</wp:posOffset>
                      </wp:positionV>
                      <wp:extent cx="114300" cy="114300"/>
                      <wp:effectExtent l="50800" t="50800" r="38100" b="8890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35A41" id="AutoShape 15" o:spid="_x0000_s1026" type="#_x0000_t187" style="position:absolute;margin-left:1.85pt;margin-top:2.55pt;width:9pt;height:9pt;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"/>
                  </w:pict>
                </mc:Fallback>
              </mc:AlternateContent>
            </w: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1B756B91" w14:textId="6199AE96" w:rsidR="006F4D3A" w:rsidRPr="00515CF0" w:rsidRDefault="006F4D3A" w:rsidP="00F16257">
            <w:pPr>
              <w:jc w:val="both"/>
              <w:rPr>
                <w:rFonts w:asciiTheme="majorHAnsi" w:eastAsia="Times New Roman" w:hAnsiTheme="majorHAnsi" w:cstheme="majorHAnsi"/>
                <w:sz w:val="16"/>
                <w:szCs w:val="16"/>
                <w:lang w:eastAsia="en-US"/>
              </w:rPr>
            </w:pPr>
          </w:p>
        </w:tc>
      </w:tr>
      <w:tr w:rsidR="006F4D3A" w:rsidRPr="00515CF0" w14:paraId="610226A4" w14:textId="77777777" w:rsidTr="006F4D3A">
        <w:tc>
          <w:tcPr>
            <w:tcW w:w="4487" w:type="dxa"/>
            <w:tcBorders>
              <w:bottom w:val="single" w:sz="4" w:space="0" w:color="auto"/>
              <w:right w:val="single" w:sz="4" w:space="0" w:color="auto"/>
            </w:tcBorders>
          </w:tcPr>
          <w:p w14:paraId="2A376189" w14:textId="77777777" w:rsidR="006F4D3A" w:rsidRPr="00515CF0" w:rsidRDefault="006F4D3A" w:rsidP="00F16257">
            <w:pPr>
              <w:jc w:val="both"/>
              <w:rPr>
                <w:rFonts w:asciiTheme="majorHAnsi" w:eastAsia="Sylfaen" w:hAnsiTheme="majorHAnsi" w:cstheme="majorHAnsi"/>
                <w:sz w:val="16"/>
                <w:szCs w:val="16"/>
                <w:lang w:eastAsia="en-US"/>
              </w:rPr>
            </w:pPr>
            <w:r w:rsidRPr="00515CF0">
              <w:rPr>
                <w:rFonts w:asciiTheme="majorHAnsi" w:eastAsia="Sylfaen" w:hAnsiTheme="majorHAnsi" w:cstheme="majorHAnsi"/>
                <w:sz w:val="16"/>
                <w:szCs w:val="16"/>
                <w:lang w:eastAsia="en-US"/>
              </w:rPr>
              <w:t>Production of the publication</w:t>
            </w: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29A58908"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4E86BD97"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222420D9"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5F0CFA40"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0FE945CA" w14:textId="77777777"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03271660" w14:textId="1311AC58"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0D921900" w14:textId="2BD46AD6" w:rsidR="006F4D3A" w:rsidRPr="00515CF0" w:rsidRDefault="006F4D3A" w:rsidP="00F16257">
            <w:pPr>
              <w:jc w:val="both"/>
              <w:rPr>
                <w:rFonts w:asciiTheme="majorHAnsi" w:eastAsia="Times New Roman" w:hAnsiTheme="majorHAnsi" w:cstheme="majorHAnsi"/>
                <w:sz w:val="16"/>
                <w:szCs w:val="16"/>
                <w:lang w:eastAsia="en-US"/>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14:paraId="38D5CA5A" w14:textId="007322D8" w:rsidR="006F4D3A" w:rsidRPr="00515CF0" w:rsidRDefault="006F4D3A" w:rsidP="00F16257">
            <w:pPr>
              <w:jc w:val="both"/>
              <w:rPr>
                <w:rFonts w:asciiTheme="majorHAnsi" w:eastAsia="Times New Roman" w:hAnsiTheme="majorHAnsi" w:cstheme="majorHAnsi"/>
                <w:sz w:val="16"/>
                <w:szCs w:val="16"/>
                <w:lang w:eastAsia="en-US"/>
              </w:rPr>
            </w:pPr>
            <w:r w:rsidRPr="00515CF0">
              <w:rPr>
                <w:rFonts w:asciiTheme="majorHAnsi" w:eastAsia="Times New Roman" w:hAnsiTheme="majorHAnsi" w:cstheme="majorHAnsi"/>
                <w:noProof/>
                <w:sz w:val="16"/>
                <w:szCs w:val="16"/>
                <w:lang w:eastAsia="en-US"/>
              </w:rPr>
              <mc:AlternateContent>
                <mc:Choice Requires="wps">
                  <w:drawing>
                    <wp:anchor distT="0" distB="0" distL="114300" distR="114300" simplePos="0" relativeHeight="251677184" behindDoc="0" locked="0" layoutInCell="1" allowOverlap="1" wp14:anchorId="1EFDE945" wp14:editId="16965682">
                      <wp:simplePos x="0" y="0"/>
                      <wp:positionH relativeFrom="column">
                        <wp:posOffset>42301</wp:posOffset>
                      </wp:positionH>
                      <wp:positionV relativeFrom="paragraph">
                        <wp:posOffset>67457</wp:posOffset>
                      </wp:positionV>
                      <wp:extent cx="114300" cy="114300"/>
                      <wp:effectExtent l="50800" t="50800" r="38100" b="8890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40E96" id="AutoShape 15" o:spid="_x0000_s1026" type="#_x0000_t187" style="position:absolute;margin-left:3.35pt;margin-top:5.3pt;width:9pt;height:9pt;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"/>
                  </w:pict>
                </mc:Fallback>
              </mc:AlternateContent>
            </w:r>
          </w:p>
        </w:tc>
      </w:tr>
    </w:tbl>
    <w:p w14:paraId="2A915EC9" w14:textId="77777777" w:rsidR="00523369" w:rsidRPr="00515CF0" w:rsidRDefault="00523369" w:rsidP="00F16257">
      <w:pPr>
        <w:pStyle w:val="Heading1"/>
        <w:jc w:val="both"/>
        <w:rPr>
          <w:rFonts w:asciiTheme="majorHAnsi" w:hAnsiTheme="majorHAnsi" w:cstheme="majorHAnsi"/>
        </w:rPr>
      </w:pPr>
      <w:r w:rsidRPr="00515CF0">
        <w:rPr>
          <w:rFonts w:asciiTheme="majorHAnsi" w:hAnsiTheme="majorHAnsi" w:cstheme="majorHAnsi"/>
        </w:rPr>
        <w:t>6</w:t>
      </w:r>
      <w:r w:rsidR="004E3176" w:rsidRPr="00515CF0">
        <w:rPr>
          <w:rFonts w:asciiTheme="majorHAnsi" w:hAnsiTheme="majorHAnsi" w:cstheme="majorHAnsi"/>
        </w:rPr>
        <w:t xml:space="preserve">. </w:t>
      </w:r>
      <w:r w:rsidRPr="00515CF0">
        <w:rPr>
          <w:rFonts w:asciiTheme="majorHAnsi" w:hAnsiTheme="majorHAnsi" w:cstheme="majorHAnsi"/>
        </w:rPr>
        <w:t>Resources</w:t>
      </w:r>
    </w:p>
    <w:p w14:paraId="25EE0C81" w14:textId="77777777" w:rsidR="00523369" w:rsidRPr="00515CF0" w:rsidRDefault="00523369" w:rsidP="00F16257">
      <w:pPr>
        <w:jc w:val="both"/>
        <w:rPr>
          <w:rFonts w:asciiTheme="majorHAnsi" w:hAnsiTheme="majorHAnsi" w:cstheme="majorHAnsi"/>
          <w:b/>
        </w:rPr>
      </w:pPr>
    </w:p>
    <w:p w14:paraId="3353DC66" w14:textId="5B84B5F0" w:rsidR="00523369" w:rsidRPr="00515CF0" w:rsidRDefault="00523369" w:rsidP="008F370C">
      <w:pPr>
        <w:pStyle w:val="Heading4"/>
        <w:ind w:right="0"/>
        <w:rPr>
          <w:rFonts w:asciiTheme="majorHAnsi" w:hAnsiTheme="majorHAnsi" w:cstheme="majorHAnsi"/>
        </w:rPr>
      </w:pPr>
      <w:r w:rsidRPr="00515CF0">
        <w:rPr>
          <w:rFonts w:asciiTheme="majorHAnsi" w:hAnsiTheme="majorHAnsi" w:cstheme="majorHAnsi"/>
        </w:rPr>
        <w:t>Human Resources – Research Team</w:t>
      </w:r>
    </w:p>
    <w:p w14:paraId="77B7E6E6" w14:textId="6E6251B7" w:rsidR="008C53AD" w:rsidRPr="00515CF0" w:rsidRDefault="00523369" w:rsidP="00F16257">
      <w:pPr>
        <w:tabs>
          <w:tab w:val="left" w:pos="360"/>
        </w:tabs>
        <w:jc w:val="both"/>
        <w:rPr>
          <w:rFonts w:asciiTheme="majorHAnsi" w:hAnsiTheme="majorHAnsi" w:cstheme="majorHAnsi"/>
        </w:rPr>
      </w:pPr>
      <w:r w:rsidRPr="00515CF0">
        <w:rPr>
          <w:rFonts w:asciiTheme="majorHAnsi" w:hAnsiTheme="majorHAnsi" w:cstheme="majorHAnsi"/>
        </w:rPr>
        <w:t>The</w:t>
      </w:r>
      <w:r w:rsidR="006B6520">
        <w:rPr>
          <w:rFonts w:asciiTheme="majorHAnsi" w:hAnsiTheme="majorHAnsi" w:cstheme="majorHAnsi"/>
        </w:rPr>
        <w:t xml:space="preserve"> two individuals</w:t>
      </w:r>
      <w:r w:rsidR="00A10436">
        <w:rPr>
          <w:rFonts w:asciiTheme="majorHAnsi" w:hAnsiTheme="majorHAnsi" w:cstheme="majorHAnsi"/>
        </w:rPr>
        <w:t>, one policymaker and one researcher,</w:t>
      </w:r>
      <w:r w:rsidRPr="00515CF0">
        <w:rPr>
          <w:rFonts w:asciiTheme="majorHAnsi" w:hAnsiTheme="majorHAnsi" w:cstheme="majorHAnsi"/>
        </w:rPr>
        <w:t xml:space="preserve"> involved in the study</w:t>
      </w:r>
      <w:r w:rsidR="00915AFA">
        <w:rPr>
          <w:rFonts w:asciiTheme="majorHAnsi" w:hAnsiTheme="majorHAnsi" w:cstheme="majorHAnsi"/>
        </w:rPr>
        <w:t>,</w:t>
      </w:r>
      <w:r w:rsidRPr="00515CF0">
        <w:rPr>
          <w:rFonts w:asciiTheme="majorHAnsi" w:hAnsiTheme="majorHAnsi" w:cstheme="majorHAnsi"/>
        </w:rPr>
        <w:t xml:space="preserve"> bring complementary skills </w:t>
      </w:r>
      <w:r w:rsidR="005B6D0F">
        <w:rPr>
          <w:rFonts w:asciiTheme="majorHAnsi" w:hAnsiTheme="majorHAnsi" w:cstheme="majorHAnsi"/>
        </w:rPr>
        <w:t xml:space="preserve">and </w:t>
      </w:r>
      <w:r w:rsidR="00C915C3">
        <w:rPr>
          <w:rFonts w:asciiTheme="majorHAnsi" w:hAnsiTheme="majorHAnsi" w:cstheme="majorHAnsi"/>
        </w:rPr>
        <w:t>viewpoints to</w:t>
      </w:r>
      <w:r w:rsidRPr="00515CF0">
        <w:rPr>
          <w:rFonts w:asciiTheme="majorHAnsi" w:hAnsiTheme="majorHAnsi" w:cstheme="majorHAnsi"/>
        </w:rPr>
        <w:t xml:space="preserve"> this research proposal</w:t>
      </w:r>
      <w:r w:rsidR="008C53AD" w:rsidRPr="00515CF0">
        <w:rPr>
          <w:rFonts w:asciiTheme="majorHAnsi" w:hAnsiTheme="majorHAnsi" w:cstheme="majorHAnsi"/>
        </w:rPr>
        <w:t>.</w:t>
      </w:r>
      <w:r w:rsidR="0016704F">
        <w:rPr>
          <w:rFonts w:asciiTheme="majorHAnsi" w:hAnsiTheme="majorHAnsi" w:cstheme="majorHAnsi"/>
        </w:rPr>
        <w:t xml:space="preserve"> </w:t>
      </w:r>
      <w:r w:rsidR="00CA593A">
        <w:rPr>
          <w:rFonts w:asciiTheme="majorHAnsi" w:hAnsiTheme="majorHAnsi" w:cstheme="majorHAnsi"/>
        </w:rPr>
        <w:t xml:space="preserve">The policymaker, Dr Ketevan Goginashvili represents the Ministry of IDPs from the Occupied Territories, </w:t>
      </w:r>
      <w:r w:rsidR="008F370C">
        <w:rPr>
          <w:rFonts w:asciiTheme="majorHAnsi" w:hAnsiTheme="majorHAnsi" w:cstheme="majorHAnsi"/>
        </w:rPr>
        <w:t xml:space="preserve">Labour, Health and Social Affairs. </w:t>
      </w:r>
      <w:r w:rsidR="00A10436">
        <w:rPr>
          <w:rFonts w:asciiTheme="majorHAnsi" w:hAnsiTheme="majorHAnsi" w:cstheme="majorHAnsi"/>
        </w:rPr>
        <w:t xml:space="preserve">The researcher Dr Akaki Zoidze represents </w:t>
      </w:r>
      <w:r w:rsidR="003018B0">
        <w:rPr>
          <w:rFonts w:asciiTheme="majorHAnsi" w:hAnsiTheme="majorHAnsi" w:cstheme="majorHAnsi"/>
        </w:rPr>
        <w:t xml:space="preserve">the </w:t>
      </w:r>
      <w:r w:rsidR="003018B0" w:rsidRPr="00515CF0">
        <w:rPr>
          <w:rFonts w:asciiTheme="majorHAnsi" w:hAnsiTheme="majorHAnsi" w:cstheme="majorHAnsi"/>
        </w:rPr>
        <w:t>non-governmental, not-for-profit research organization</w:t>
      </w:r>
      <w:r w:rsidR="0016704F">
        <w:rPr>
          <w:rFonts w:asciiTheme="majorHAnsi" w:hAnsiTheme="majorHAnsi" w:cstheme="majorHAnsi"/>
        </w:rPr>
        <w:t xml:space="preserve"> Curatio International Foundation</w:t>
      </w:r>
    </w:p>
    <w:p w14:paraId="65220E99" w14:textId="26927AB5" w:rsidR="00523369" w:rsidRPr="00515CF0" w:rsidRDefault="00523369" w:rsidP="00F16257">
      <w:pPr>
        <w:tabs>
          <w:tab w:val="left" w:pos="360"/>
        </w:tabs>
        <w:spacing w:after="120"/>
        <w:jc w:val="both"/>
        <w:rPr>
          <w:rFonts w:asciiTheme="majorHAnsi" w:hAnsiTheme="majorHAnsi" w:cstheme="majorHAnsi"/>
        </w:rPr>
      </w:pPr>
      <w:r w:rsidRPr="00515CF0">
        <w:rPr>
          <w:rFonts w:asciiTheme="majorHAnsi" w:hAnsiTheme="majorHAnsi" w:cstheme="majorHAnsi"/>
          <w:b/>
        </w:rPr>
        <w:t>Curatio International Foundation (CIF)</w:t>
      </w:r>
      <w:r w:rsidRPr="00515CF0">
        <w:rPr>
          <w:rFonts w:asciiTheme="majorHAnsi" w:hAnsiTheme="majorHAnsi" w:cstheme="majorHAnsi"/>
        </w:rPr>
        <w:t xml:space="preserve"> is a non-governmental, not-for-profit research organization established in Georgia in 1994 and committed to advancing health systems and policy reforms through </w:t>
      </w:r>
      <w:r w:rsidR="00915AFA">
        <w:rPr>
          <w:rFonts w:asciiTheme="majorHAnsi" w:hAnsiTheme="majorHAnsi" w:cstheme="majorHAnsi"/>
        </w:rPr>
        <w:t xml:space="preserve">the </w:t>
      </w:r>
      <w:r w:rsidRPr="00515CF0">
        <w:rPr>
          <w:rFonts w:asciiTheme="majorHAnsi" w:hAnsiTheme="majorHAnsi" w:cstheme="majorHAnsi"/>
        </w:rPr>
        <w:t xml:space="preserve">evidence-based approach on a national, regional and global level. Since its establishment, CIF has worked in almost 18 countries implementing more than </w:t>
      </w:r>
      <w:r w:rsidR="00C41299">
        <w:rPr>
          <w:rFonts w:asciiTheme="majorHAnsi" w:hAnsiTheme="majorHAnsi" w:cstheme="majorHAnsi"/>
        </w:rPr>
        <w:t>150</w:t>
      </w:r>
      <w:r w:rsidRPr="00515CF0">
        <w:rPr>
          <w:rFonts w:asciiTheme="majorHAnsi" w:hAnsiTheme="majorHAnsi" w:cstheme="majorHAnsi"/>
        </w:rPr>
        <w:t xml:space="preserve"> research projects funded by various donors. With such a track record and with the team of investigators proposed, CIF is well placed and capable </w:t>
      </w:r>
      <w:r w:rsidR="00915AFA">
        <w:rPr>
          <w:rFonts w:asciiTheme="majorHAnsi" w:hAnsiTheme="majorHAnsi" w:cstheme="majorHAnsi"/>
        </w:rPr>
        <w:t>of</w:t>
      </w:r>
      <w:r w:rsidRPr="00515CF0">
        <w:rPr>
          <w:rFonts w:asciiTheme="majorHAnsi" w:hAnsiTheme="majorHAnsi" w:cstheme="majorHAnsi"/>
        </w:rPr>
        <w:t xml:space="preserve"> delivering quality research outputs. More details about the organization are available from </w:t>
      </w:r>
      <w:hyperlink r:id="rId8" w:history="1">
        <w:r w:rsidRPr="00515CF0">
          <w:rPr>
            <w:rStyle w:val="Hyperlink"/>
            <w:rFonts w:asciiTheme="majorHAnsi" w:hAnsiTheme="majorHAnsi" w:cstheme="majorHAnsi"/>
          </w:rPr>
          <w:t>www.curatiofoundation.org</w:t>
        </w:r>
      </w:hyperlink>
      <w:r w:rsidRPr="00515CF0">
        <w:rPr>
          <w:rFonts w:asciiTheme="majorHAnsi" w:hAnsiTheme="majorHAnsi" w:cstheme="majorHAnsi"/>
        </w:rPr>
        <w:t>.</w:t>
      </w:r>
    </w:p>
    <w:p w14:paraId="4600FB2A" w14:textId="1EC6D45E" w:rsidR="00523369" w:rsidRPr="00515CF0" w:rsidRDefault="00523369" w:rsidP="00B50C9E">
      <w:pPr>
        <w:tabs>
          <w:tab w:val="left" w:pos="360"/>
        </w:tabs>
        <w:spacing w:after="120"/>
        <w:jc w:val="both"/>
        <w:rPr>
          <w:rFonts w:asciiTheme="majorHAnsi" w:hAnsiTheme="majorHAnsi" w:cstheme="majorHAnsi"/>
        </w:rPr>
      </w:pPr>
      <w:r w:rsidRPr="00515CF0">
        <w:rPr>
          <w:rFonts w:asciiTheme="majorHAnsi" w:hAnsiTheme="majorHAnsi" w:cstheme="majorHAnsi"/>
          <w:b/>
        </w:rPr>
        <w:t xml:space="preserve">Akaki Zoidze, MD – Principal Investigator (CIF). </w:t>
      </w:r>
      <w:r w:rsidR="00915AFA">
        <w:rPr>
          <w:rFonts w:asciiTheme="majorHAnsi" w:hAnsiTheme="majorHAnsi" w:cstheme="majorHAnsi"/>
        </w:rPr>
        <w:t>H</w:t>
      </w:r>
      <w:r w:rsidR="00B50C9E" w:rsidRPr="00B50C9E">
        <w:rPr>
          <w:rFonts w:asciiTheme="majorHAnsi" w:hAnsiTheme="majorHAnsi" w:cstheme="majorHAnsi"/>
        </w:rPr>
        <w:t>as over 25 years of experience as an international expert in hea</w:t>
      </w:r>
      <w:r w:rsidR="00915AFA">
        <w:rPr>
          <w:rFonts w:asciiTheme="majorHAnsi" w:hAnsiTheme="majorHAnsi" w:cstheme="majorHAnsi"/>
        </w:rPr>
        <w:t>l</w:t>
      </w:r>
      <w:r w:rsidR="00B50C9E" w:rsidRPr="00B50C9E">
        <w:rPr>
          <w:rFonts w:asciiTheme="majorHAnsi" w:hAnsiTheme="majorHAnsi" w:cstheme="majorHAnsi"/>
        </w:rPr>
        <w:t xml:space="preserve">th policy and systems. This includes 11 years of experience in high level national (Georgia) and international policymaking, - leading or contributing to public policy development and health and </w:t>
      </w:r>
      <w:r w:rsidR="00B50C9E" w:rsidRPr="00B50C9E">
        <w:rPr>
          <w:rFonts w:asciiTheme="majorHAnsi" w:hAnsiTheme="majorHAnsi" w:cstheme="majorHAnsi"/>
        </w:rPr>
        <w:lastRenderedPageBreak/>
        <w:t>social systems reforms in Georgia and other 15 countries of the Eastern Europe and Central Asia (European Region) and two countries in Africa.</w:t>
      </w:r>
      <w:r w:rsidR="00B50C9E">
        <w:rPr>
          <w:rFonts w:asciiTheme="majorHAnsi" w:hAnsiTheme="majorHAnsi" w:cstheme="majorHAnsi"/>
        </w:rPr>
        <w:t xml:space="preserve"> </w:t>
      </w:r>
      <w:r w:rsidR="00B50C9E" w:rsidRPr="00B50C9E">
        <w:rPr>
          <w:rFonts w:asciiTheme="majorHAnsi" w:hAnsiTheme="majorHAnsi" w:cstheme="majorHAnsi"/>
        </w:rPr>
        <w:t xml:space="preserve">In 2016-2019, he was elected to the Parliament of Georgia and served as the Chair of the Healthcare and Social Issues Committee. </w:t>
      </w:r>
      <w:proofErr w:type="spellStart"/>
      <w:r w:rsidR="00B50C9E" w:rsidRPr="00B50C9E">
        <w:rPr>
          <w:rFonts w:asciiTheme="majorHAnsi" w:hAnsiTheme="majorHAnsi" w:cstheme="majorHAnsi"/>
        </w:rPr>
        <w:t>Akaki’s</w:t>
      </w:r>
      <w:proofErr w:type="spellEnd"/>
      <w:r w:rsidR="00B50C9E" w:rsidRPr="00B50C9E">
        <w:rPr>
          <w:rFonts w:asciiTheme="majorHAnsi" w:hAnsiTheme="majorHAnsi" w:cstheme="majorHAnsi"/>
        </w:rPr>
        <w:t xml:space="preserve"> academic backg</w:t>
      </w:r>
      <w:r w:rsidR="00B50C9E">
        <w:rPr>
          <w:rFonts w:asciiTheme="majorHAnsi" w:hAnsiTheme="majorHAnsi" w:cstheme="majorHAnsi"/>
        </w:rPr>
        <w:t>rou</w:t>
      </w:r>
      <w:r w:rsidR="00B50C9E" w:rsidRPr="00B50C9E">
        <w:rPr>
          <w:rFonts w:asciiTheme="majorHAnsi" w:hAnsiTheme="majorHAnsi" w:cstheme="majorHAnsi"/>
        </w:rPr>
        <w:t>nd includes more than 10 years of experience in teaching Evidence</w:t>
      </w:r>
      <w:r w:rsidR="00915AFA">
        <w:rPr>
          <w:rFonts w:asciiTheme="majorHAnsi" w:hAnsiTheme="majorHAnsi" w:cstheme="majorHAnsi"/>
        </w:rPr>
        <w:t>-</w:t>
      </w:r>
      <w:r w:rsidR="00B50C9E" w:rsidRPr="00B50C9E">
        <w:rPr>
          <w:rFonts w:asciiTheme="majorHAnsi" w:hAnsiTheme="majorHAnsi" w:cstheme="majorHAnsi"/>
        </w:rPr>
        <w:t xml:space="preserve">Based Health Policy and Health Systems at the International Public Health School of the Tbilisi State Medical University, Georgia. </w:t>
      </w:r>
      <w:r w:rsidR="00AF1F92">
        <w:rPr>
          <w:rFonts w:asciiTheme="majorHAnsi" w:hAnsiTheme="majorHAnsi" w:cstheme="majorHAnsi"/>
        </w:rPr>
        <w:t xml:space="preserve">He was </w:t>
      </w:r>
      <w:r w:rsidR="00B1782C">
        <w:rPr>
          <w:rFonts w:asciiTheme="majorHAnsi" w:hAnsiTheme="majorHAnsi" w:cstheme="majorHAnsi"/>
        </w:rPr>
        <w:t>principal</w:t>
      </w:r>
      <w:r w:rsidR="00AF1F92">
        <w:rPr>
          <w:rFonts w:asciiTheme="majorHAnsi" w:hAnsiTheme="majorHAnsi" w:cstheme="majorHAnsi"/>
        </w:rPr>
        <w:t xml:space="preserve"> </w:t>
      </w:r>
      <w:r w:rsidR="00B1782C">
        <w:rPr>
          <w:rFonts w:asciiTheme="majorHAnsi" w:hAnsiTheme="majorHAnsi" w:cstheme="majorHAnsi"/>
        </w:rPr>
        <w:t>investigator</w:t>
      </w:r>
      <w:r w:rsidR="00AF1F92">
        <w:rPr>
          <w:rFonts w:asciiTheme="majorHAnsi" w:hAnsiTheme="majorHAnsi" w:cstheme="majorHAnsi"/>
        </w:rPr>
        <w:t xml:space="preserve"> </w:t>
      </w:r>
      <w:r w:rsidR="004906B0">
        <w:rPr>
          <w:rFonts w:asciiTheme="majorHAnsi" w:hAnsiTheme="majorHAnsi" w:cstheme="majorHAnsi"/>
        </w:rPr>
        <w:t xml:space="preserve">or co-investigator of </w:t>
      </w:r>
      <w:r w:rsidR="008875EF">
        <w:rPr>
          <w:rFonts w:asciiTheme="majorHAnsi" w:hAnsiTheme="majorHAnsi" w:cstheme="majorHAnsi"/>
        </w:rPr>
        <w:t xml:space="preserve">7 </w:t>
      </w:r>
      <w:r w:rsidR="00B1782C">
        <w:rPr>
          <w:rFonts w:asciiTheme="majorHAnsi" w:hAnsiTheme="majorHAnsi" w:cstheme="majorHAnsi"/>
        </w:rPr>
        <w:t>research studies in the last 6 years</w:t>
      </w:r>
      <w:r w:rsidR="00AF5081">
        <w:rPr>
          <w:rFonts w:asciiTheme="majorHAnsi" w:hAnsiTheme="majorHAnsi" w:cstheme="majorHAnsi"/>
        </w:rPr>
        <w:t>.</w:t>
      </w:r>
      <w:r w:rsidR="00AF1F92">
        <w:rPr>
          <w:rFonts w:asciiTheme="majorHAnsi" w:hAnsiTheme="majorHAnsi" w:cstheme="majorHAnsi"/>
        </w:rPr>
        <w:t xml:space="preserve"> </w:t>
      </w:r>
      <w:r w:rsidR="00B50C9E" w:rsidRPr="00B50C9E">
        <w:rPr>
          <w:rFonts w:asciiTheme="majorHAnsi" w:hAnsiTheme="majorHAnsi" w:cstheme="majorHAnsi"/>
        </w:rPr>
        <w:t>Currently</w:t>
      </w:r>
      <w:r w:rsidR="00A612BC">
        <w:rPr>
          <w:rFonts w:asciiTheme="majorHAnsi" w:hAnsiTheme="majorHAnsi" w:cstheme="majorHAnsi"/>
        </w:rPr>
        <w:t>,</w:t>
      </w:r>
      <w:r w:rsidR="00B50C9E" w:rsidRPr="00B50C9E">
        <w:rPr>
          <w:rFonts w:asciiTheme="majorHAnsi" w:hAnsiTheme="majorHAnsi" w:cstheme="majorHAnsi"/>
        </w:rPr>
        <w:t xml:space="preserve"> Dr Zoidze is </w:t>
      </w:r>
      <w:r w:rsidR="00A612BC">
        <w:rPr>
          <w:rFonts w:asciiTheme="majorHAnsi" w:hAnsiTheme="majorHAnsi" w:cstheme="majorHAnsi"/>
        </w:rPr>
        <w:t xml:space="preserve">a </w:t>
      </w:r>
      <w:r w:rsidR="00AF5081">
        <w:rPr>
          <w:rFonts w:asciiTheme="majorHAnsi" w:hAnsiTheme="majorHAnsi" w:cstheme="majorHAnsi"/>
        </w:rPr>
        <w:t xml:space="preserve">lead researcher at CIF and </w:t>
      </w:r>
      <w:r w:rsidR="00B50C9E" w:rsidRPr="00B50C9E">
        <w:rPr>
          <w:rFonts w:asciiTheme="majorHAnsi" w:hAnsiTheme="majorHAnsi" w:cstheme="majorHAnsi"/>
        </w:rPr>
        <w:t>an Associate Professor of the School of Natural Sciences and Medicine of Ilia State University, Tbilisi, Georgia</w:t>
      </w:r>
      <w:r w:rsidRPr="00515CF0">
        <w:rPr>
          <w:rFonts w:asciiTheme="majorHAnsi" w:hAnsiTheme="majorHAnsi" w:cstheme="majorHAnsi"/>
        </w:rPr>
        <w:t xml:space="preserve">. </w:t>
      </w:r>
    </w:p>
    <w:p w14:paraId="0BB56FF0" w14:textId="4C3A61F3" w:rsidR="008C53AD" w:rsidRPr="00F35604" w:rsidRDefault="00AF5081" w:rsidP="00AF5081">
      <w:pPr>
        <w:spacing w:after="120"/>
        <w:jc w:val="both"/>
        <w:rPr>
          <w:rFonts w:asciiTheme="majorHAnsi" w:hAnsiTheme="majorHAnsi" w:cstheme="majorHAnsi"/>
        </w:rPr>
      </w:pPr>
      <w:r>
        <w:rPr>
          <w:rFonts w:asciiTheme="majorHAnsi" w:hAnsiTheme="majorHAnsi" w:cstheme="majorHAnsi"/>
          <w:b/>
          <w:bCs/>
        </w:rPr>
        <w:t>Ketevan Goginashvili</w:t>
      </w:r>
      <w:r w:rsidR="00523369" w:rsidRPr="00515CF0">
        <w:rPr>
          <w:rFonts w:asciiTheme="majorHAnsi" w:hAnsiTheme="majorHAnsi" w:cstheme="majorHAnsi"/>
          <w:b/>
          <w:bCs/>
        </w:rPr>
        <w:t>, M</w:t>
      </w:r>
      <w:r>
        <w:rPr>
          <w:rFonts w:asciiTheme="majorHAnsi" w:hAnsiTheme="majorHAnsi" w:cstheme="majorHAnsi"/>
          <w:b/>
          <w:bCs/>
        </w:rPr>
        <w:t>D</w:t>
      </w:r>
      <w:r w:rsidR="00523369" w:rsidRPr="00515CF0">
        <w:rPr>
          <w:rFonts w:asciiTheme="majorHAnsi" w:hAnsiTheme="majorHAnsi" w:cstheme="majorHAnsi"/>
          <w:b/>
          <w:bCs/>
        </w:rPr>
        <w:t>, Co-investigator /</w:t>
      </w:r>
      <w:r>
        <w:rPr>
          <w:rFonts w:asciiTheme="majorHAnsi" w:hAnsiTheme="majorHAnsi" w:cstheme="majorHAnsi"/>
          <w:b/>
          <w:bCs/>
        </w:rPr>
        <w:t xml:space="preserve">policymaker. </w:t>
      </w:r>
      <w:r w:rsidR="00A612BC">
        <w:rPr>
          <w:rFonts w:asciiTheme="majorHAnsi" w:hAnsiTheme="majorHAnsi" w:cstheme="majorHAnsi"/>
        </w:rPr>
        <w:t>A m</w:t>
      </w:r>
      <w:r w:rsidR="00F35604">
        <w:rPr>
          <w:rFonts w:asciiTheme="majorHAnsi" w:hAnsiTheme="majorHAnsi" w:cstheme="majorHAnsi"/>
        </w:rPr>
        <w:t xml:space="preserve">edical doctor by training, Dr Goginashvili </w:t>
      </w:r>
      <w:r w:rsidR="00AD2BB4">
        <w:rPr>
          <w:rFonts w:asciiTheme="majorHAnsi" w:hAnsiTheme="majorHAnsi" w:cstheme="majorHAnsi"/>
        </w:rPr>
        <w:t xml:space="preserve">is currently as Chief Specialist at the </w:t>
      </w:r>
      <w:r w:rsidR="00AD2BB4">
        <w:rPr>
          <w:rFonts w:asciiTheme="majorHAnsi" w:hAnsiTheme="majorHAnsi" w:cstheme="majorHAnsi"/>
        </w:rPr>
        <w:t>Ministry of IDPs from the Occupied Territories, Labour, Health and Social Affairs</w:t>
      </w:r>
      <w:r w:rsidR="00C37352">
        <w:rPr>
          <w:rFonts w:asciiTheme="majorHAnsi" w:hAnsiTheme="majorHAnsi" w:cstheme="majorHAnsi"/>
        </w:rPr>
        <w:t xml:space="preserve">. </w:t>
      </w:r>
      <w:r w:rsidR="00F6687D">
        <w:rPr>
          <w:rFonts w:asciiTheme="majorHAnsi" w:hAnsiTheme="majorHAnsi" w:cstheme="majorHAnsi"/>
        </w:rPr>
        <w:t>Ketevan is longest</w:t>
      </w:r>
      <w:r w:rsidR="00A612BC">
        <w:rPr>
          <w:rFonts w:asciiTheme="majorHAnsi" w:hAnsiTheme="majorHAnsi" w:cstheme="majorHAnsi"/>
        </w:rPr>
        <w:t>-</w:t>
      </w:r>
      <w:r w:rsidR="00F6687D">
        <w:rPr>
          <w:rFonts w:asciiTheme="majorHAnsi" w:hAnsiTheme="majorHAnsi" w:cstheme="majorHAnsi"/>
        </w:rPr>
        <w:t xml:space="preserve">serving </w:t>
      </w:r>
      <w:r w:rsidR="00DA7006">
        <w:rPr>
          <w:rFonts w:asciiTheme="majorHAnsi" w:hAnsiTheme="majorHAnsi" w:cstheme="majorHAnsi"/>
        </w:rPr>
        <w:t xml:space="preserve">staff member of the Ministry (since the year 1994). </w:t>
      </w:r>
      <w:r w:rsidR="00C37352">
        <w:rPr>
          <w:rFonts w:asciiTheme="majorHAnsi" w:hAnsiTheme="majorHAnsi" w:cstheme="majorHAnsi"/>
        </w:rPr>
        <w:t xml:space="preserve">She is closely involved in the budgeting and financial planning of the state health sector and public health programs. She is also the national focal point </w:t>
      </w:r>
      <w:proofErr w:type="gramStart"/>
      <w:r w:rsidR="00C37352">
        <w:rPr>
          <w:rFonts w:asciiTheme="majorHAnsi" w:hAnsiTheme="majorHAnsi" w:cstheme="majorHAnsi"/>
        </w:rPr>
        <w:t>for the production of</w:t>
      </w:r>
      <w:proofErr w:type="gramEnd"/>
      <w:r w:rsidR="00C37352">
        <w:rPr>
          <w:rFonts w:asciiTheme="majorHAnsi" w:hAnsiTheme="majorHAnsi" w:cstheme="majorHAnsi"/>
        </w:rPr>
        <w:t xml:space="preserve"> the National Health Accounts. </w:t>
      </w:r>
      <w:r w:rsidR="00DA7006">
        <w:rPr>
          <w:rFonts w:asciiTheme="majorHAnsi" w:hAnsiTheme="majorHAnsi" w:cstheme="majorHAnsi"/>
        </w:rPr>
        <w:t xml:space="preserve">She is the author and co-author of several </w:t>
      </w:r>
      <w:r w:rsidR="001B3EC9">
        <w:rPr>
          <w:rFonts w:asciiTheme="majorHAnsi" w:hAnsiTheme="majorHAnsi" w:cstheme="majorHAnsi"/>
        </w:rPr>
        <w:t xml:space="preserve">research publications. </w:t>
      </w:r>
    </w:p>
    <w:p w14:paraId="2CCFF967" w14:textId="77777777" w:rsidR="00634D67" w:rsidRPr="00515CF0" w:rsidRDefault="00634D67" w:rsidP="00F16257">
      <w:pPr>
        <w:spacing w:before="60"/>
        <w:jc w:val="both"/>
        <w:rPr>
          <w:rFonts w:asciiTheme="majorHAnsi" w:hAnsiTheme="majorHAnsi" w:cstheme="majorHAnsi"/>
        </w:rPr>
      </w:pPr>
    </w:p>
    <w:tbl>
      <w:tblPr>
        <w:tblW w:w="928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1471"/>
        <w:gridCol w:w="3137"/>
        <w:gridCol w:w="1170"/>
        <w:gridCol w:w="1350"/>
        <w:gridCol w:w="1350"/>
        <w:gridCol w:w="810"/>
      </w:tblGrid>
      <w:tr w:rsidR="00523369" w:rsidRPr="00515CF0" w14:paraId="45AF42D5" w14:textId="77777777" w:rsidTr="00DF309A">
        <w:trPr>
          <w:trHeight w:val="242"/>
          <w:tblHeader/>
        </w:trPr>
        <w:tc>
          <w:tcPr>
            <w:tcW w:w="1471" w:type="dxa"/>
            <w:vMerge w:val="restart"/>
            <w:shd w:val="clear" w:color="auto" w:fill="D9D9D9" w:themeFill="background1" w:themeFillShade="D9"/>
          </w:tcPr>
          <w:p w14:paraId="419FAC80" w14:textId="77777777" w:rsidR="00523369" w:rsidRPr="00515CF0" w:rsidRDefault="00523369" w:rsidP="00F16257">
            <w:pPr>
              <w:spacing w:after="135"/>
              <w:jc w:val="both"/>
              <w:rPr>
                <w:rFonts w:asciiTheme="majorHAnsi" w:hAnsiTheme="majorHAnsi" w:cstheme="majorHAnsi"/>
                <w:b/>
                <w:sz w:val="20"/>
              </w:rPr>
            </w:pPr>
            <w:r w:rsidRPr="00515CF0">
              <w:rPr>
                <w:rFonts w:asciiTheme="majorHAnsi" w:hAnsiTheme="majorHAnsi" w:cstheme="majorHAnsi"/>
                <w:b/>
                <w:sz w:val="20"/>
              </w:rPr>
              <w:t>Expert / Role</w:t>
            </w:r>
          </w:p>
        </w:tc>
        <w:tc>
          <w:tcPr>
            <w:tcW w:w="3137" w:type="dxa"/>
            <w:vMerge w:val="restart"/>
            <w:shd w:val="clear" w:color="auto" w:fill="D9D9D9" w:themeFill="background1" w:themeFillShade="D9"/>
          </w:tcPr>
          <w:p w14:paraId="25A97A4D" w14:textId="77777777" w:rsidR="00523369" w:rsidRPr="00515CF0" w:rsidRDefault="00523369" w:rsidP="00F16257">
            <w:pPr>
              <w:spacing w:after="135"/>
              <w:jc w:val="both"/>
              <w:rPr>
                <w:rFonts w:asciiTheme="majorHAnsi" w:hAnsiTheme="majorHAnsi" w:cstheme="majorHAnsi"/>
                <w:b/>
                <w:sz w:val="20"/>
              </w:rPr>
            </w:pPr>
            <w:r w:rsidRPr="00515CF0">
              <w:rPr>
                <w:rFonts w:asciiTheme="majorHAnsi" w:hAnsiTheme="majorHAnsi" w:cstheme="majorHAnsi"/>
                <w:b/>
                <w:sz w:val="20"/>
              </w:rPr>
              <w:t xml:space="preserve">Responsibilities </w:t>
            </w:r>
          </w:p>
        </w:tc>
        <w:tc>
          <w:tcPr>
            <w:tcW w:w="4680" w:type="dxa"/>
            <w:gridSpan w:val="4"/>
            <w:shd w:val="clear" w:color="auto" w:fill="D9D9D9" w:themeFill="background1" w:themeFillShade="D9"/>
          </w:tcPr>
          <w:p w14:paraId="71C5A09B" w14:textId="77777777" w:rsidR="00523369" w:rsidRPr="00515CF0" w:rsidRDefault="00523369" w:rsidP="00F16257">
            <w:pPr>
              <w:spacing w:after="135"/>
              <w:jc w:val="both"/>
              <w:rPr>
                <w:rFonts w:asciiTheme="majorHAnsi" w:hAnsiTheme="majorHAnsi" w:cstheme="majorHAnsi"/>
                <w:b/>
                <w:sz w:val="20"/>
              </w:rPr>
            </w:pPr>
            <w:r w:rsidRPr="00515CF0">
              <w:rPr>
                <w:rFonts w:asciiTheme="majorHAnsi" w:hAnsiTheme="majorHAnsi" w:cstheme="majorHAnsi"/>
                <w:b/>
                <w:sz w:val="20"/>
              </w:rPr>
              <w:t>Level of effort (days)</w:t>
            </w:r>
          </w:p>
        </w:tc>
      </w:tr>
      <w:tr w:rsidR="00DF309A" w:rsidRPr="00515CF0" w14:paraId="4F0A529F" w14:textId="77777777" w:rsidTr="00DF309A">
        <w:trPr>
          <w:tblHeader/>
        </w:trPr>
        <w:tc>
          <w:tcPr>
            <w:tcW w:w="1471" w:type="dxa"/>
            <w:vMerge/>
            <w:shd w:val="clear" w:color="auto" w:fill="D9D9D9" w:themeFill="background1" w:themeFillShade="D9"/>
          </w:tcPr>
          <w:p w14:paraId="6FA3CE33" w14:textId="77777777" w:rsidR="00523369" w:rsidRPr="00515CF0" w:rsidRDefault="00523369" w:rsidP="00F16257">
            <w:pPr>
              <w:spacing w:after="135"/>
              <w:jc w:val="both"/>
              <w:rPr>
                <w:rFonts w:asciiTheme="majorHAnsi" w:hAnsiTheme="majorHAnsi" w:cstheme="majorHAnsi"/>
                <w:b/>
                <w:sz w:val="20"/>
              </w:rPr>
            </w:pPr>
          </w:p>
        </w:tc>
        <w:tc>
          <w:tcPr>
            <w:tcW w:w="3137" w:type="dxa"/>
            <w:vMerge/>
            <w:shd w:val="clear" w:color="auto" w:fill="D9D9D9" w:themeFill="background1" w:themeFillShade="D9"/>
          </w:tcPr>
          <w:p w14:paraId="7A2A7F26" w14:textId="77777777" w:rsidR="00523369" w:rsidRPr="00515CF0" w:rsidRDefault="00523369" w:rsidP="00F16257">
            <w:pPr>
              <w:spacing w:after="135"/>
              <w:jc w:val="both"/>
              <w:rPr>
                <w:rFonts w:asciiTheme="majorHAnsi" w:hAnsiTheme="majorHAnsi" w:cstheme="majorHAnsi"/>
                <w:b/>
                <w:sz w:val="20"/>
              </w:rPr>
            </w:pPr>
          </w:p>
        </w:tc>
        <w:tc>
          <w:tcPr>
            <w:tcW w:w="1170" w:type="dxa"/>
            <w:shd w:val="clear" w:color="auto" w:fill="D9D9D9" w:themeFill="background1" w:themeFillShade="D9"/>
          </w:tcPr>
          <w:p w14:paraId="4B5CC220" w14:textId="77777777" w:rsidR="00523369" w:rsidRPr="00515CF0" w:rsidRDefault="00523369" w:rsidP="00F16257">
            <w:pPr>
              <w:spacing w:after="135"/>
              <w:jc w:val="both"/>
              <w:rPr>
                <w:rFonts w:asciiTheme="majorHAnsi" w:hAnsiTheme="majorHAnsi" w:cstheme="majorHAnsi"/>
                <w:b/>
                <w:sz w:val="20"/>
              </w:rPr>
            </w:pPr>
            <w:r w:rsidRPr="00515CF0">
              <w:rPr>
                <w:rFonts w:asciiTheme="majorHAnsi" w:hAnsiTheme="majorHAnsi" w:cstheme="majorHAnsi"/>
                <w:b/>
                <w:sz w:val="20"/>
              </w:rPr>
              <w:t>Phase 1: research methodology development</w:t>
            </w:r>
          </w:p>
        </w:tc>
        <w:tc>
          <w:tcPr>
            <w:tcW w:w="1350" w:type="dxa"/>
            <w:shd w:val="clear" w:color="auto" w:fill="D9D9D9" w:themeFill="background1" w:themeFillShade="D9"/>
          </w:tcPr>
          <w:p w14:paraId="40902010" w14:textId="77777777" w:rsidR="00523369" w:rsidRPr="00515CF0" w:rsidRDefault="00523369" w:rsidP="00F16257">
            <w:pPr>
              <w:spacing w:after="135"/>
              <w:jc w:val="both"/>
              <w:rPr>
                <w:rFonts w:asciiTheme="majorHAnsi" w:hAnsiTheme="majorHAnsi" w:cstheme="majorHAnsi"/>
                <w:b/>
                <w:sz w:val="20"/>
              </w:rPr>
            </w:pPr>
            <w:r w:rsidRPr="00515CF0">
              <w:rPr>
                <w:rFonts w:asciiTheme="majorHAnsi" w:hAnsiTheme="majorHAnsi" w:cstheme="majorHAnsi"/>
                <w:b/>
                <w:sz w:val="20"/>
              </w:rPr>
              <w:t>Phase 2: Data Collection</w:t>
            </w:r>
          </w:p>
        </w:tc>
        <w:tc>
          <w:tcPr>
            <w:tcW w:w="1350" w:type="dxa"/>
            <w:shd w:val="clear" w:color="auto" w:fill="D9D9D9" w:themeFill="background1" w:themeFillShade="D9"/>
          </w:tcPr>
          <w:p w14:paraId="742AE8DD" w14:textId="77777777" w:rsidR="00523369" w:rsidRPr="00515CF0" w:rsidRDefault="00523369" w:rsidP="00F16257">
            <w:pPr>
              <w:spacing w:after="135"/>
              <w:jc w:val="both"/>
              <w:rPr>
                <w:rFonts w:asciiTheme="majorHAnsi" w:hAnsiTheme="majorHAnsi" w:cstheme="majorHAnsi"/>
                <w:b/>
                <w:sz w:val="20"/>
              </w:rPr>
            </w:pPr>
            <w:r w:rsidRPr="00515CF0">
              <w:rPr>
                <w:rFonts w:asciiTheme="majorHAnsi" w:hAnsiTheme="majorHAnsi" w:cstheme="majorHAnsi"/>
                <w:b/>
                <w:sz w:val="20"/>
              </w:rPr>
              <w:t xml:space="preserve">Phase 3: Synthesis </w:t>
            </w:r>
          </w:p>
        </w:tc>
        <w:tc>
          <w:tcPr>
            <w:tcW w:w="810" w:type="dxa"/>
            <w:shd w:val="clear" w:color="auto" w:fill="D9D9D9" w:themeFill="background1" w:themeFillShade="D9"/>
          </w:tcPr>
          <w:p w14:paraId="2D346B6F" w14:textId="77777777" w:rsidR="00523369" w:rsidRPr="00515CF0" w:rsidRDefault="00523369" w:rsidP="00F16257">
            <w:pPr>
              <w:spacing w:after="135"/>
              <w:jc w:val="both"/>
              <w:rPr>
                <w:rFonts w:asciiTheme="majorHAnsi" w:hAnsiTheme="majorHAnsi" w:cstheme="majorHAnsi"/>
                <w:b/>
                <w:sz w:val="20"/>
              </w:rPr>
            </w:pPr>
            <w:r w:rsidRPr="00515CF0">
              <w:rPr>
                <w:rFonts w:asciiTheme="majorHAnsi" w:hAnsiTheme="majorHAnsi" w:cstheme="majorHAnsi"/>
                <w:b/>
                <w:sz w:val="20"/>
              </w:rPr>
              <w:t>Total</w:t>
            </w:r>
          </w:p>
        </w:tc>
      </w:tr>
      <w:tr w:rsidR="00DF309A" w:rsidRPr="00515CF0" w14:paraId="4F94C840" w14:textId="77777777" w:rsidTr="00DF309A">
        <w:tc>
          <w:tcPr>
            <w:tcW w:w="1471" w:type="dxa"/>
          </w:tcPr>
          <w:p w14:paraId="5A107AAC" w14:textId="7FD5D75F" w:rsidR="00523369" w:rsidRPr="00515CF0" w:rsidRDefault="00523369" w:rsidP="00F16257">
            <w:pPr>
              <w:jc w:val="both"/>
              <w:rPr>
                <w:rFonts w:asciiTheme="majorHAnsi" w:hAnsiTheme="majorHAnsi" w:cstheme="majorHAnsi"/>
                <w:b/>
                <w:color w:val="000000"/>
                <w:sz w:val="20"/>
              </w:rPr>
            </w:pPr>
            <w:r w:rsidRPr="00515CF0">
              <w:rPr>
                <w:rFonts w:asciiTheme="majorHAnsi" w:hAnsiTheme="majorHAnsi" w:cstheme="majorHAnsi"/>
                <w:color w:val="000000"/>
                <w:sz w:val="20"/>
              </w:rPr>
              <w:t xml:space="preserve">Principal Investigator </w:t>
            </w:r>
            <w:r w:rsidR="00634D67" w:rsidRPr="00515CF0">
              <w:rPr>
                <w:rFonts w:asciiTheme="majorHAnsi" w:hAnsiTheme="majorHAnsi" w:cstheme="majorHAnsi"/>
                <w:color w:val="000000"/>
                <w:sz w:val="20"/>
              </w:rPr>
              <w:t>–</w:t>
            </w:r>
            <w:r w:rsidRPr="00515CF0">
              <w:rPr>
                <w:rFonts w:asciiTheme="majorHAnsi" w:hAnsiTheme="majorHAnsi" w:cstheme="majorHAnsi"/>
                <w:color w:val="000000"/>
                <w:sz w:val="20"/>
              </w:rPr>
              <w:t xml:space="preserve"> </w:t>
            </w:r>
            <w:r w:rsidRPr="00515CF0">
              <w:rPr>
                <w:rFonts w:asciiTheme="majorHAnsi" w:hAnsiTheme="majorHAnsi" w:cstheme="majorHAnsi"/>
                <w:sz w:val="20"/>
              </w:rPr>
              <w:t>Akaki</w:t>
            </w:r>
            <w:r w:rsidR="00634D67" w:rsidRPr="00515CF0">
              <w:rPr>
                <w:rFonts w:asciiTheme="majorHAnsi" w:hAnsiTheme="majorHAnsi" w:cstheme="majorHAnsi"/>
                <w:sz w:val="20"/>
              </w:rPr>
              <w:t xml:space="preserve"> Zoidze, MD</w:t>
            </w:r>
            <w:r w:rsidRPr="00515CF0">
              <w:rPr>
                <w:rFonts w:asciiTheme="majorHAnsi" w:hAnsiTheme="majorHAnsi" w:cstheme="majorHAnsi"/>
                <w:sz w:val="20"/>
              </w:rPr>
              <w:t>, (CIF)</w:t>
            </w:r>
          </w:p>
        </w:tc>
        <w:tc>
          <w:tcPr>
            <w:tcW w:w="3137" w:type="dxa"/>
          </w:tcPr>
          <w:p w14:paraId="453EFB51" w14:textId="77777777" w:rsidR="00523369" w:rsidRPr="00515CF0" w:rsidRDefault="00523369" w:rsidP="00F16257">
            <w:pPr>
              <w:pStyle w:val="ListParagraph"/>
              <w:keepNext/>
              <w:numPr>
                <w:ilvl w:val="0"/>
                <w:numId w:val="34"/>
              </w:numPr>
              <w:spacing w:before="48" w:after="48" w:line="240" w:lineRule="auto"/>
              <w:ind w:left="0" w:firstLine="0"/>
              <w:contextualSpacing w:val="0"/>
              <w:jc w:val="both"/>
              <w:rPr>
                <w:rFonts w:asciiTheme="majorHAnsi" w:hAnsiTheme="majorHAnsi" w:cstheme="majorHAnsi"/>
                <w:sz w:val="20"/>
                <w:lang w:val="en-US"/>
              </w:rPr>
            </w:pPr>
            <w:r w:rsidRPr="00515CF0">
              <w:rPr>
                <w:rFonts w:asciiTheme="majorHAnsi" w:hAnsiTheme="majorHAnsi" w:cstheme="majorHAnsi"/>
                <w:sz w:val="20"/>
                <w:lang w:val="en-US"/>
              </w:rPr>
              <w:t xml:space="preserve">Oversee the research project implementation  </w:t>
            </w:r>
          </w:p>
          <w:p w14:paraId="1C3C1C4F" w14:textId="77777777" w:rsidR="00523369" w:rsidRPr="00515CF0" w:rsidRDefault="00523369" w:rsidP="00F16257">
            <w:pPr>
              <w:pStyle w:val="ListParagraph"/>
              <w:keepNext/>
              <w:numPr>
                <w:ilvl w:val="0"/>
                <w:numId w:val="34"/>
              </w:numPr>
              <w:spacing w:before="48" w:after="48" w:line="240" w:lineRule="auto"/>
              <w:ind w:left="0" w:firstLine="0"/>
              <w:contextualSpacing w:val="0"/>
              <w:jc w:val="both"/>
              <w:rPr>
                <w:rFonts w:asciiTheme="majorHAnsi" w:hAnsiTheme="majorHAnsi" w:cstheme="majorHAnsi"/>
                <w:sz w:val="20"/>
                <w:lang w:val="en-US"/>
              </w:rPr>
            </w:pPr>
            <w:r w:rsidRPr="00515CF0">
              <w:rPr>
                <w:rFonts w:asciiTheme="majorHAnsi" w:hAnsiTheme="majorHAnsi" w:cstheme="majorHAnsi"/>
                <w:sz w:val="20"/>
                <w:lang w:val="en-US"/>
              </w:rPr>
              <w:t xml:space="preserve">Lead the research methodology and protocol development (tools, data collection plan, analytical framework) </w:t>
            </w:r>
          </w:p>
          <w:p w14:paraId="4916B9EC" w14:textId="77777777" w:rsidR="00523369" w:rsidRPr="00515CF0" w:rsidRDefault="00523369" w:rsidP="00F16257">
            <w:pPr>
              <w:pStyle w:val="ListParagraph"/>
              <w:keepNext/>
              <w:numPr>
                <w:ilvl w:val="0"/>
                <w:numId w:val="34"/>
              </w:numPr>
              <w:spacing w:before="48" w:after="48" w:line="240" w:lineRule="auto"/>
              <w:ind w:left="0" w:firstLine="0"/>
              <w:contextualSpacing w:val="0"/>
              <w:jc w:val="both"/>
              <w:rPr>
                <w:rFonts w:asciiTheme="majorHAnsi" w:hAnsiTheme="majorHAnsi" w:cstheme="majorHAnsi"/>
                <w:sz w:val="20"/>
                <w:lang w:val="en-US"/>
              </w:rPr>
            </w:pPr>
            <w:r w:rsidRPr="00515CF0">
              <w:rPr>
                <w:rFonts w:asciiTheme="majorHAnsi" w:hAnsiTheme="majorHAnsi" w:cstheme="majorHAnsi"/>
                <w:sz w:val="20"/>
                <w:lang w:val="en-US"/>
              </w:rPr>
              <w:t>Contribute to QA of the research output</w:t>
            </w:r>
          </w:p>
          <w:p w14:paraId="07E7678F" w14:textId="77777777" w:rsidR="00523369" w:rsidRPr="00515CF0" w:rsidRDefault="00523369" w:rsidP="00F16257">
            <w:pPr>
              <w:pStyle w:val="ListParagraph"/>
              <w:keepNext/>
              <w:numPr>
                <w:ilvl w:val="0"/>
                <w:numId w:val="34"/>
              </w:numPr>
              <w:spacing w:before="48" w:after="48" w:line="240" w:lineRule="auto"/>
              <w:ind w:left="0" w:firstLine="0"/>
              <w:contextualSpacing w:val="0"/>
              <w:jc w:val="both"/>
              <w:rPr>
                <w:rFonts w:asciiTheme="majorHAnsi" w:hAnsiTheme="majorHAnsi" w:cstheme="majorHAnsi"/>
                <w:sz w:val="20"/>
                <w:lang w:val="en-US"/>
              </w:rPr>
            </w:pPr>
            <w:r w:rsidRPr="00515CF0">
              <w:rPr>
                <w:rFonts w:asciiTheme="majorHAnsi" w:hAnsiTheme="majorHAnsi" w:cstheme="majorHAnsi"/>
                <w:sz w:val="20"/>
                <w:lang w:val="en-US"/>
              </w:rPr>
              <w:t>Synthesize the research findings</w:t>
            </w:r>
          </w:p>
          <w:p w14:paraId="0DD44C14" w14:textId="77777777" w:rsidR="00523369" w:rsidRDefault="00523369" w:rsidP="00F16257">
            <w:pPr>
              <w:pStyle w:val="ListParagraph"/>
              <w:keepNext/>
              <w:numPr>
                <w:ilvl w:val="0"/>
                <w:numId w:val="34"/>
              </w:numPr>
              <w:spacing w:before="48" w:after="48" w:line="240" w:lineRule="auto"/>
              <w:ind w:left="0" w:firstLine="0"/>
              <w:contextualSpacing w:val="0"/>
              <w:jc w:val="both"/>
              <w:rPr>
                <w:rFonts w:asciiTheme="majorHAnsi" w:hAnsiTheme="majorHAnsi" w:cstheme="majorHAnsi"/>
                <w:sz w:val="20"/>
                <w:lang w:val="en-US"/>
              </w:rPr>
            </w:pPr>
            <w:r w:rsidRPr="00515CF0">
              <w:rPr>
                <w:rFonts w:asciiTheme="majorHAnsi" w:hAnsiTheme="majorHAnsi" w:cstheme="majorHAnsi"/>
                <w:sz w:val="20"/>
                <w:lang w:val="en-US"/>
              </w:rPr>
              <w:t>Develop final case study</w:t>
            </w:r>
            <w:r w:rsidR="009C12AC" w:rsidRPr="00515CF0">
              <w:rPr>
                <w:rFonts w:asciiTheme="majorHAnsi" w:hAnsiTheme="majorHAnsi" w:cstheme="majorHAnsi"/>
                <w:sz w:val="20"/>
                <w:lang w:val="en-US"/>
              </w:rPr>
              <w:t>/publication</w:t>
            </w:r>
            <w:r w:rsidRPr="00515CF0">
              <w:rPr>
                <w:rFonts w:asciiTheme="majorHAnsi" w:hAnsiTheme="majorHAnsi" w:cstheme="majorHAnsi"/>
                <w:sz w:val="20"/>
                <w:lang w:val="en-US"/>
              </w:rPr>
              <w:t xml:space="preserve"> </w:t>
            </w:r>
          </w:p>
          <w:p w14:paraId="537C7DBD" w14:textId="563BEE13" w:rsidR="002B3527" w:rsidRPr="00515CF0" w:rsidRDefault="002B3527" w:rsidP="00F16257">
            <w:pPr>
              <w:pStyle w:val="ListParagraph"/>
              <w:keepNext/>
              <w:numPr>
                <w:ilvl w:val="0"/>
                <w:numId w:val="34"/>
              </w:numPr>
              <w:spacing w:before="48" w:after="48" w:line="240" w:lineRule="auto"/>
              <w:ind w:left="0" w:firstLine="0"/>
              <w:contextualSpacing w:val="0"/>
              <w:jc w:val="both"/>
              <w:rPr>
                <w:rFonts w:asciiTheme="majorHAnsi" w:hAnsiTheme="majorHAnsi" w:cstheme="majorHAnsi"/>
                <w:sz w:val="20"/>
                <w:lang w:val="en-US"/>
              </w:rPr>
            </w:pPr>
            <w:r w:rsidRPr="00515CF0">
              <w:rPr>
                <w:rFonts w:asciiTheme="majorHAnsi" w:hAnsiTheme="majorHAnsi" w:cstheme="majorHAnsi"/>
                <w:sz w:val="20"/>
                <w:lang w:val="en-US"/>
              </w:rPr>
              <w:t xml:space="preserve">Present research findings </w:t>
            </w:r>
            <w:r w:rsidR="00B60324">
              <w:rPr>
                <w:rFonts w:asciiTheme="majorHAnsi" w:hAnsiTheme="majorHAnsi" w:cstheme="majorHAnsi"/>
                <w:sz w:val="20"/>
                <w:lang w:val="en-US"/>
              </w:rPr>
              <w:t>at the national dissemination workshop</w:t>
            </w:r>
          </w:p>
        </w:tc>
        <w:tc>
          <w:tcPr>
            <w:tcW w:w="1170" w:type="dxa"/>
          </w:tcPr>
          <w:p w14:paraId="69F09C9D" w14:textId="5436804E" w:rsidR="00523369" w:rsidRPr="00515CF0" w:rsidRDefault="00CA50D2" w:rsidP="00F16257">
            <w:pPr>
              <w:keepNext/>
              <w:spacing w:before="48" w:after="48"/>
              <w:jc w:val="both"/>
              <w:rPr>
                <w:rFonts w:asciiTheme="majorHAnsi" w:hAnsiTheme="majorHAnsi" w:cstheme="majorHAnsi"/>
              </w:rPr>
            </w:pPr>
            <w:r>
              <w:rPr>
                <w:rFonts w:asciiTheme="majorHAnsi" w:hAnsiTheme="majorHAnsi" w:cstheme="majorHAnsi"/>
              </w:rPr>
              <w:t>5</w:t>
            </w:r>
          </w:p>
        </w:tc>
        <w:tc>
          <w:tcPr>
            <w:tcW w:w="1350" w:type="dxa"/>
          </w:tcPr>
          <w:p w14:paraId="5B7691D5" w14:textId="31F73B4E" w:rsidR="00523369" w:rsidRDefault="00484E3B" w:rsidP="00F16257">
            <w:pPr>
              <w:keepNext/>
              <w:spacing w:before="48" w:after="48"/>
              <w:jc w:val="both"/>
              <w:rPr>
                <w:rFonts w:asciiTheme="majorHAnsi" w:hAnsiTheme="majorHAnsi" w:cstheme="majorHAnsi"/>
              </w:rPr>
            </w:pPr>
            <w:r>
              <w:rPr>
                <w:rFonts w:asciiTheme="majorHAnsi" w:hAnsiTheme="majorHAnsi" w:cstheme="majorHAnsi"/>
              </w:rPr>
              <w:t>5</w:t>
            </w:r>
          </w:p>
          <w:p w14:paraId="4EB534E3" w14:textId="4BC83A6F" w:rsidR="007E6798" w:rsidRPr="00515CF0" w:rsidRDefault="007E6798" w:rsidP="00F16257">
            <w:pPr>
              <w:keepNext/>
              <w:spacing w:before="48" w:after="48"/>
              <w:jc w:val="both"/>
              <w:rPr>
                <w:rFonts w:asciiTheme="majorHAnsi" w:hAnsiTheme="majorHAnsi" w:cstheme="majorHAnsi"/>
              </w:rPr>
            </w:pPr>
          </w:p>
        </w:tc>
        <w:tc>
          <w:tcPr>
            <w:tcW w:w="1350" w:type="dxa"/>
          </w:tcPr>
          <w:p w14:paraId="18BAB9FD" w14:textId="35B72CFD" w:rsidR="00523369" w:rsidRPr="00515CF0" w:rsidRDefault="00BC5CFB" w:rsidP="00F16257">
            <w:pPr>
              <w:keepNext/>
              <w:spacing w:before="48" w:after="48"/>
              <w:jc w:val="both"/>
              <w:rPr>
                <w:rFonts w:asciiTheme="majorHAnsi" w:hAnsiTheme="majorHAnsi" w:cstheme="majorHAnsi"/>
              </w:rPr>
            </w:pPr>
            <w:r>
              <w:rPr>
                <w:rFonts w:asciiTheme="majorHAnsi" w:hAnsiTheme="majorHAnsi" w:cstheme="majorHAnsi"/>
              </w:rPr>
              <w:t>8</w:t>
            </w:r>
          </w:p>
        </w:tc>
        <w:tc>
          <w:tcPr>
            <w:tcW w:w="810" w:type="dxa"/>
          </w:tcPr>
          <w:p w14:paraId="4E7DEA5D" w14:textId="00CBB6AE" w:rsidR="00523369" w:rsidRPr="00515CF0" w:rsidRDefault="00484E3B" w:rsidP="00F16257">
            <w:pPr>
              <w:keepNext/>
              <w:spacing w:before="48" w:after="48"/>
              <w:jc w:val="both"/>
              <w:rPr>
                <w:rFonts w:asciiTheme="majorHAnsi" w:hAnsiTheme="majorHAnsi" w:cstheme="majorHAnsi"/>
              </w:rPr>
            </w:pPr>
            <w:r>
              <w:rPr>
                <w:rFonts w:asciiTheme="majorHAnsi" w:hAnsiTheme="majorHAnsi" w:cstheme="majorHAnsi"/>
              </w:rPr>
              <w:t>18</w:t>
            </w:r>
          </w:p>
        </w:tc>
      </w:tr>
      <w:tr w:rsidR="00DF309A" w:rsidRPr="00515CF0" w14:paraId="3EABCDAB" w14:textId="77777777" w:rsidTr="00DF309A">
        <w:tc>
          <w:tcPr>
            <w:tcW w:w="1471" w:type="dxa"/>
          </w:tcPr>
          <w:p w14:paraId="19D3309F" w14:textId="03359178" w:rsidR="00523369" w:rsidRPr="00515CF0" w:rsidRDefault="00523369" w:rsidP="00F16257">
            <w:pPr>
              <w:jc w:val="both"/>
              <w:rPr>
                <w:rFonts w:asciiTheme="majorHAnsi" w:hAnsiTheme="majorHAnsi" w:cstheme="majorHAnsi"/>
                <w:color w:val="000000"/>
                <w:sz w:val="20"/>
              </w:rPr>
            </w:pPr>
            <w:r w:rsidRPr="00515CF0">
              <w:rPr>
                <w:rFonts w:asciiTheme="majorHAnsi" w:hAnsiTheme="majorHAnsi" w:cstheme="majorHAnsi"/>
                <w:color w:val="000000"/>
                <w:sz w:val="20"/>
              </w:rPr>
              <w:t>Co-investigator /</w:t>
            </w:r>
            <w:r w:rsidR="00FB594E">
              <w:rPr>
                <w:rFonts w:asciiTheme="majorHAnsi" w:hAnsiTheme="majorHAnsi" w:cstheme="majorHAnsi"/>
                <w:color w:val="000000"/>
                <w:sz w:val="20"/>
              </w:rPr>
              <w:t>policymaker</w:t>
            </w:r>
            <w:r w:rsidRPr="00515CF0">
              <w:rPr>
                <w:rFonts w:asciiTheme="majorHAnsi" w:hAnsiTheme="majorHAnsi" w:cstheme="majorHAnsi"/>
                <w:color w:val="000000"/>
                <w:sz w:val="20"/>
              </w:rPr>
              <w:t xml:space="preserve"> </w:t>
            </w:r>
            <w:r w:rsidR="00FB594E">
              <w:rPr>
                <w:rFonts w:asciiTheme="majorHAnsi" w:hAnsiTheme="majorHAnsi" w:cstheme="majorHAnsi"/>
                <w:color w:val="000000"/>
                <w:sz w:val="20"/>
              </w:rPr>
              <w:t>Dr. Ketevan Goginashvili</w:t>
            </w:r>
          </w:p>
        </w:tc>
        <w:tc>
          <w:tcPr>
            <w:tcW w:w="3137" w:type="dxa"/>
          </w:tcPr>
          <w:p w14:paraId="55FCF06B" w14:textId="77777777" w:rsidR="00523369" w:rsidRPr="00515CF0" w:rsidRDefault="00523369" w:rsidP="00F16257">
            <w:pPr>
              <w:pStyle w:val="ListParagraph"/>
              <w:keepNext/>
              <w:numPr>
                <w:ilvl w:val="0"/>
                <w:numId w:val="34"/>
              </w:numPr>
              <w:spacing w:before="48" w:after="48" w:line="240" w:lineRule="auto"/>
              <w:ind w:left="0" w:firstLine="0"/>
              <w:contextualSpacing w:val="0"/>
              <w:jc w:val="both"/>
              <w:rPr>
                <w:rFonts w:asciiTheme="majorHAnsi" w:hAnsiTheme="majorHAnsi" w:cstheme="majorHAnsi"/>
                <w:sz w:val="20"/>
                <w:lang w:val="en-US"/>
              </w:rPr>
            </w:pPr>
            <w:r w:rsidRPr="00515CF0">
              <w:rPr>
                <w:rFonts w:asciiTheme="majorHAnsi" w:hAnsiTheme="majorHAnsi" w:cstheme="majorHAnsi"/>
                <w:sz w:val="20"/>
                <w:lang w:val="en-US"/>
              </w:rPr>
              <w:t>Contribute to the research protocol and study tools development</w:t>
            </w:r>
          </w:p>
          <w:p w14:paraId="63A01C99" w14:textId="77777777" w:rsidR="00523369" w:rsidRPr="00515CF0" w:rsidRDefault="00523369" w:rsidP="00F16257">
            <w:pPr>
              <w:pStyle w:val="ListParagraph"/>
              <w:keepNext/>
              <w:numPr>
                <w:ilvl w:val="0"/>
                <w:numId w:val="34"/>
              </w:numPr>
              <w:spacing w:before="48" w:after="48" w:line="240" w:lineRule="auto"/>
              <w:ind w:left="0" w:firstLine="0"/>
              <w:contextualSpacing w:val="0"/>
              <w:jc w:val="both"/>
              <w:rPr>
                <w:rFonts w:asciiTheme="majorHAnsi" w:hAnsiTheme="majorHAnsi" w:cstheme="majorHAnsi"/>
                <w:sz w:val="20"/>
                <w:lang w:val="en-US"/>
              </w:rPr>
            </w:pPr>
            <w:r w:rsidRPr="00515CF0">
              <w:rPr>
                <w:rFonts w:asciiTheme="majorHAnsi" w:hAnsiTheme="majorHAnsi" w:cstheme="majorHAnsi"/>
                <w:sz w:val="20"/>
                <w:lang w:val="en-US"/>
              </w:rPr>
              <w:t>Ensure IRB approval</w:t>
            </w:r>
          </w:p>
          <w:p w14:paraId="1C6C3558" w14:textId="77777777" w:rsidR="00523369" w:rsidRPr="00515CF0" w:rsidRDefault="00523369" w:rsidP="00F16257">
            <w:pPr>
              <w:pStyle w:val="ListParagraph"/>
              <w:keepNext/>
              <w:numPr>
                <w:ilvl w:val="0"/>
                <w:numId w:val="34"/>
              </w:numPr>
              <w:spacing w:before="48" w:after="48" w:line="240" w:lineRule="auto"/>
              <w:ind w:left="0" w:firstLine="0"/>
              <w:contextualSpacing w:val="0"/>
              <w:jc w:val="both"/>
              <w:rPr>
                <w:rFonts w:asciiTheme="majorHAnsi" w:hAnsiTheme="majorHAnsi" w:cstheme="majorHAnsi"/>
                <w:sz w:val="20"/>
                <w:lang w:val="en-US"/>
              </w:rPr>
            </w:pPr>
            <w:r w:rsidRPr="00515CF0">
              <w:rPr>
                <w:rFonts w:asciiTheme="majorHAnsi" w:hAnsiTheme="majorHAnsi" w:cstheme="majorHAnsi"/>
                <w:sz w:val="20"/>
                <w:lang w:val="en-US"/>
              </w:rPr>
              <w:t xml:space="preserve">Conduct key informant interviews </w:t>
            </w:r>
          </w:p>
          <w:p w14:paraId="0A39DBFF" w14:textId="0B9F9619" w:rsidR="00523369" w:rsidRPr="00515CF0" w:rsidRDefault="00B60324" w:rsidP="00F16257">
            <w:pPr>
              <w:pStyle w:val="ListParagraph"/>
              <w:keepNext/>
              <w:numPr>
                <w:ilvl w:val="0"/>
                <w:numId w:val="34"/>
              </w:numPr>
              <w:spacing w:before="48" w:after="48" w:line="240" w:lineRule="auto"/>
              <w:ind w:left="0" w:firstLine="0"/>
              <w:contextualSpacing w:val="0"/>
              <w:jc w:val="both"/>
              <w:rPr>
                <w:rFonts w:asciiTheme="majorHAnsi" w:hAnsiTheme="majorHAnsi" w:cstheme="majorHAnsi"/>
                <w:sz w:val="20"/>
                <w:lang w:val="en-US"/>
              </w:rPr>
            </w:pPr>
            <w:r w:rsidRPr="00515CF0">
              <w:rPr>
                <w:rFonts w:asciiTheme="majorHAnsi" w:hAnsiTheme="majorHAnsi" w:cstheme="majorHAnsi"/>
                <w:sz w:val="20"/>
                <w:lang w:val="en-US"/>
              </w:rPr>
              <w:t xml:space="preserve">Present research findings </w:t>
            </w:r>
            <w:r>
              <w:rPr>
                <w:rFonts w:asciiTheme="majorHAnsi" w:hAnsiTheme="majorHAnsi" w:cstheme="majorHAnsi"/>
                <w:sz w:val="20"/>
                <w:lang w:val="en-US"/>
              </w:rPr>
              <w:t>at the national dissemination workshop</w:t>
            </w:r>
          </w:p>
        </w:tc>
        <w:tc>
          <w:tcPr>
            <w:tcW w:w="1170" w:type="dxa"/>
          </w:tcPr>
          <w:p w14:paraId="68B96F38" w14:textId="5CD5EA5E" w:rsidR="00523369" w:rsidRPr="00515CF0" w:rsidRDefault="00BD0B3E" w:rsidP="00F16257">
            <w:pPr>
              <w:keepNext/>
              <w:spacing w:before="48" w:after="48"/>
              <w:jc w:val="both"/>
              <w:rPr>
                <w:rFonts w:asciiTheme="majorHAnsi" w:hAnsiTheme="majorHAnsi" w:cstheme="majorHAnsi"/>
              </w:rPr>
            </w:pPr>
            <w:r>
              <w:rPr>
                <w:rFonts w:asciiTheme="majorHAnsi" w:hAnsiTheme="majorHAnsi" w:cstheme="majorHAnsi"/>
              </w:rPr>
              <w:t>1</w:t>
            </w:r>
          </w:p>
        </w:tc>
        <w:tc>
          <w:tcPr>
            <w:tcW w:w="1350" w:type="dxa"/>
          </w:tcPr>
          <w:p w14:paraId="2CECB048" w14:textId="0953D7BB" w:rsidR="00523369" w:rsidRPr="00515CF0" w:rsidRDefault="003F3E49" w:rsidP="00F16257">
            <w:pPr>
              <w:keepNext/>
              <w:spacing w:before="48" w:after="48"/>
              <w:jc w:val="both"/>
              <w:rPr>
                <w:rFonts w:asciiTheme="majorHAnsi" w:hAnsiTheme="majorHAnsi" w:cstheme="majorHAnsi"/>
              </w:rPr>
            </w:pPr>
            <w:r>
              <w:rPr>
                <w:rFonts w:asciiTheme="majorHAnsi" w:hAnsiTheme="majorHAnsi" w:cstheme="majorHAnsi"/>
              </w:rPr>
              <w:t>10</w:t>
            </w:r>
          </w:p>
        </w:tc>
        <w:tc>
          <w:tcPr>
            <w:tcW w:w="1350" w:type="dxa"/>
          </w:tcPr>
          <w:p w14:paraId="0F337414" w14:textId="28C990D7" w:rsidR="00523369" w:rsidRPr="00515CF0" w:rsidRDefault="003F3E49" w:rsidP="00F16257">
            <w:pPr>
              <w:keepNext/>
              <w:spacing w:before="48" w:after="48"/>
              <w:jc w:val="both"/>
              <w:rPr>
                <w:rFonts w:asciiTheme="majorHAnsi" w:hAnsiTheme="majorHAnsi" w:cstheme="majorHAnsi"/>
              </w:rPr>
            </w:pPr>
            <w:r>
              <w:rPr>
                <w:rFonts w:asciiTheme="majorHAnsi" w:hAnsiTheme="majorHAnsi" w:cstheme="majorHAnsi"/>
              </w:rPr>
              <w:t>5</w:t>
            </w:r>
          </w:p>
        </w:tc>
        <w:tc>
          <w:tcPr>
            <w:tcW w:w="810" w:type="dxa"/>
          </w:tcPr>
          <w:p w14:paraId="43F8E667" w14:textId="6E582D39" w:rsidR="00523369" w:rsidRPr="00515CF0" w:rsidRDefault="003F3E49" w:rsidP="00F16257">
            <w:pPr>
              <w:keepNext/>
              <w:spacing w:before="48" w:after="48"/>
              <w:jc w:val="both"/>
              <w:rPr>
                <w:rFonts w:asciiTheme="majorHAnsi" w:hAnsiTheme="majorHAnsi" w:cstheme="majorHAnsi"/>
              </w:rPr>
            </w:pPr>
            <w:r>
              <w:rPr>
                <w:rFonts w:asciiTheme="majorHAnsi" w:hAnsiTheme="majorHAnsi" w:cstheme="majorHAnsi"/>
              </w:rPr>
              <w:t>16</w:t>
            </w:r>
          </w:p>
        </w:tc>
      </w:tr>
      <w:tr w:rsidR="00DF309A" w:rsidRPr="00515CF0" w14:paraId="78ECB2B6" w14:textId="77777777" w:rsidTr="00DD0144">
        <w:tc>
          <w:tcPr>
            <w:tcW w:w="1471" w:type="dxa"/>
            <w:shd w:val="clear" w:color="auto" w:fill="auto"/>
          </w:tcPr>
          <w:p w14:paraId="0143FCC1" w14:textId="10BB1BDB" w:rsidR="00523369" w:rsidRPr="00515CF0" w:rsidRDefault="00523369" w:rsidP="00F16257">
            <w:pPr>
              <w:jc w:val="both"/>
              <w:rPr>
                <w:rFonts w:asciiTheme="majorHAnsi" w:hAnsiTheme="majorHAnsi" w:cstheme="majorHAnsi"/>
                <w:color w:val="000000"/>
                <w:sz w:val="20"/>
              </w:rPr>
            </w:pPr>
            <w:r w:rsidRPr="00515CF0">
              <w:rPr>
                <w:rFonts w:asciiTheme="majorHAnsi" w:hAnsiTheme="majorHAnsi" w:cstheme="majorHAnsi"/>
                <w:color w:val="000000"/>
                <w:sz w:val="20"/>
              </w:rPr>
              <w:lastRenderedPageBreak/>
              <w:t>Research assistant (</w:t>
            </w:r>
            <w:r w:rsidR="00B60324">
              <w:rPr>
                <w:rFonts w:asciiTheme="majorHAnsi" w:hAnsiTheme="majorHAnsi" w:cstheme="majorHAnsi"/>
                <w:color w:val="000000"/>
                <w:sz w:val="20"/>
              </w:rPr>
              <w:t>TBD</w:t>
            </w:r>
            <w:r w:rsidRPr="00515CF0">
              <w:rPr>
                <w:rFonts w:asciiTheme="majorHAnsi" w:hAnsiTheme="majorHAnsi" w:cstheme="majorHAnsi"/>
                <w:color w:val="000000"/>
                <w:sz w:val="20"/>
              </w:rPr>
              <w:t>)</w:t>
            </w:r>
          </w:p>
        </w:tc>
        <w:tc>
          <w:tcPr>
            <w:tcW w:w="3137" w:type="dxa"/>
          </w:tcPr>
          <w:p w14:paraId="28442A78" w14:textId="2CDF03D4" w:rsidR="00523369" w:rsidRDefault="00523369" w:rsidP="00F16257">
            <w:pPr>
              <w:pStyle w:val="ListParagraph"/>
              <w:keepNext/>
              <w:numPr>
                <w:ilvl w:val="0"/>
                <w:numId w:val="34"/>
              </w:numPr>
              <w:spacing w:before="48" w:after="48" w:line="240" w:lineRule="auto"/>
              <w:ind w:left="0" w:firstLine="0"/>
              <w:contextualSpacing w:val="0"/>
              <w:jc w:val="both"/>
              <w:rPr>
                <w:rFonts w:asciiTheme="majorHAnsi" w:hAnsiTheme="majorHAnsi" w:cstheme="majorHAnsi"/>
                <w:sz w:val="20"/>
                <w:lang w:val="en-US"/>
              </w:rPr>
            </w:pPr>
            <w:r w:rsidRPr="00515CF0">
              <w:rPr>
                <w:rFonts w:asciiTheme="majorHAnsi" w:hAnsiTheme="majorHAnsi" w:cstheme="majorHAnsi"/>
                <w:sz w:val="20"/>
                <w:lang w:val="en-US"/>
              </w:rPr>
              <w:t xml:space="preserve">Transcribe interviews </w:t>
            </w:r>
          </w:p>
          <w:p w14:paraId="02A29B2F" w14:textId="1FDCB449" w:rsidR="00FB594E" w:rsidRPr="00515CF0" w:rsidRDefault="004C0F15" w:rsidP="00F16257">
            <w:pPr>
              <w:pStyle w:val="ListParagraph"/>
              <w:keepNext/>
              <w:numPr>
                <w:ilvl w:val="0"/>
                <w:numId w:val="34"/>
              </w:numPr>
              <w:spacing w:before="48" w:after="48" w:line="240" w:lineRule="auto"/>
              <w:ind w:left="0" w:firstLine="0"/>
              <w:contextualSpacing w:val="0"/>
              <w:jc w:val="both"/>
              <w:rPr>
                <w:rFonts w:asciiTheme="majorHAnsi" w:hAnsiTheme="majorHAnsi" w:cstheme="majorHAnsi"/>
                <w:sz w:val="20"/>
                <w:lang w:val="en-US"/>
              </w:rPr>
            </w:pPr>
            <w:r>
              <w:rPr>
                <w:rFonts w:asciiTheme="majorHAnsi" w:hAnsiTheme="majorHAnsi" w:cstheme="majorHAnsi"/>
                <w:sz w:val="20"/>
                <w:lang w:val="en-US"/>
              </w:rPr>
              <w:t xml:space="preserve">Assist with document and literature review </w:t>
            </w:r>
          </w:p>
          <w:p w14:paraId="5A1DF378" w14:textId="77777777" w:rsidR="00523369" w:rsidRPr="00515CF0" w:rsidRDefault="00523369" w:rsidP="00F16257">
            <w:pPr>
              <w:pStyle w:val="ListParagraph"/>
              <w:keepNext/>
              <w:spacing w:before="48" w:after="48" w:line="240" w:lineRule="auto"/>
              <w:ind w:left="0"/>
              <w:contextualSpacing w:val="0"/>
              <w:jc w:val="both"/>
              <w:rPr>
                <w:rFonts w:asciiTheme="majorHAnsi" w:hAnsiTheme="majorHAnsi" w:cstheme="majorHAnsi"/>
                <w:sz w:val="20"/>
                <w:lang w:val="en-US"/>
              </w:rPr>
            </w:pPr>
          </w:p>
        </w:tc>
        <w:tc>
          <w:tcPr>
            <w:tcW w:w="1170" w:type="dxa"/>
          </w:tcPr>
          <w:p w14:paraId="4A121893" w14:textId="77777777" w:rsidR="00523369" w:rsidRPr="00515CF0" w:rsidRDefault="00523369" w:rsidP="00F16257">
            <w:pPr>
              <w:keepNext/>
              <w:spacing w:before="48" w:after="48"/>
              <w:jc w:val="both"/>
              <w:rPr>
                <w:rFonts w:asciiTheme="majorHAnsi" w:hAnsiTheme="majorHAnsi" w:cstheme="majorHAnsi"/>
              </w:rPr>
            </w:pPr>
          </w:p>
        </w:tc>
        <w:tc>
          <w:tcPr>
            <w:tcW w:w="1350" w:type="dxa"/>
          </w:tcPr>
          <w:p w14:paraId="3345969F" w14:textId="187C78D5" w:rsidR="00523369" w:rsidRPr="00515CF0" w:rsidRDefault="00B60324" w:rsidP="00F16257">
            <w:pPr>
              <w:keepNext/>
              <w:spacing w:before="48" w:after="48"/>
              <w:jc w:val="both"/>
              <w:rPr>
                <w:rFonts w:asciiTheme="majorHAnsi" w:hAnsiTheme="majorHAnsi" w:cstheme="majorHAnsi"/>
              </w:rPr>
            </w:pPr>
            <w:r>
              <w:rPr>
                <w:rFonts w:asciiTheme="majorHAnsi" w:hAnsiTheme="majorHAnsi" w:cstheme="majorHAnsi"/>
              </w:rPr>
              <w:t>35</w:t>
            </w:r>
          </w:p>
        </w:tc>
        <w:tc>
          <w:tcPr>
            <w:tcW w:w="1350" w:type="dxa"/>
          </w:tcPr>
          <w:p w14:paraId="0FB015BA" w14:textId="77777777" w:rsidR="00523369" w:rsidRPr="00515CF0" w:rsidRDefault="00523369" w:rsidP="00F16257">
            <w:pPr>
              <w:keepNext/>
              <w:spacing w:before="48" w:after="48"/>
              <w:jc w:val="both"/>
              <w:rPr>
                <w:rFonts w:asciiTheme="majorHAnsi" w:hAnsiTheme="majorHAnsi" w:cstheme="majorHAnsi"/>
              </w:rPr>
            </w:pPr>
          </w:p>
        </w:tc>
        <w:tc>
          <w:tcPr>
            <w:tcW w:w="810" w:type="dxa"/>
          </w:tcPr>
          <w:p w14:paraId="713E2A61" w14:textId="77777777" w:rsidR="00523369" w:rsidRPr="00515CF0" w:rsidRDefault="00523369" w:rsidP="00F16257">
            <w:pPr>
              <w:keepNext/>
              <w:spacing w:before="48" w:after="48"/>
              <w:jc w:val="both"/>
              <w:rPr>
                <w:rFonts w:asciiTheme="majorHAnsi" w:hAnsiTheme="majorHAnsi" w:cstheme="majorHAnsi"/>
              </w:rPr>
            </w:pPr>
            <w:r w:rsidRPr="00515CF0">
              <w:rPr>
                <w:rFonts w:asciiTheme="majorHAnsi" w:hAnsiTheme="majorHAnsi" w:cstheme="majorHAnsi"/>
              </w:rPr>
              <w:t>35</w:t>
            </w:r>
          </w:p>
        </w:tc>
      </w:tr>
    </w:tbl>
    <w:p w14:paraId="2B90EA7A" w14:textId="77777777" w:rsidR="00DF309A" w:rsidRPr="00515CF0" w:rsidRDefault="00DF309A" w:rsidP="00F16257">
      <w:pPr>
        <w:jc w:val="both"/>
        <w:rPr>
          <w:rFonts w:asciiTheme="majorHAnsi" w:hAnsiTheme="majorHAnsi" w:cstheme="majorHAnsi"/>
        </w:rPr>
      </w:pPr>
    </w:p>
    <w:p w14:paraId="7180159F" w14:textId="77777777" w:rsidR="00523369" w:rsidRPr="00515CF0" w:rsidRDefault="00DF309A" w:rsidP="00F16257">
      <w:pPr>
        <w:pStyle w:val="Heading4"/>
        <w:ind w:right="0"/>
        <w:rPr>
          <w:rFonts w:asciiTheme="majorHAnsi" w:hAnsiTheme="majorHAnsi" w:cstheme="majorHAnsi"/>
        </w:rPr>
      </w:pPr>
      <w:r w:rsidRPr="00515CF0">
        <w:rPr>
          <w:rFonts w:asciiTheme="majorHAnsi" w:hAnsiTheme="majorHAnsi" w:cstheme="majorHAnsi"/>
        </w:rPr>
        <w:t>Budget</w:t>
      </w:r>
    </w:p>
    <w:p w14:paraId="59CA63A8" w14:textId="77777777" w:rsidR="00014472" w:rsidRPr="00515CF0" w:rsidRDefault="00014472" w:rsidP="00F16257">
      <w:pPr>
        <w:jc w:val="both"/>
        <w:rPr>
          <w:rFonts w:asciiTheme="majorHAnsi" w:hAnsiTheme="majorHAnsi" w:cstheme="majorHAnsi"/>
        </w:rPr>
      </w:pPr>
    </w:p>
    <w:tbl>
      <w:tblPr>
        <w:tblW w:w="5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1620"/>
      </w:tblGrid>
      <w:tr w:rsidR="00014472" w:rsidRPr="00515CF0" w14:paraId="443B1D96" w14:textId="77777777" w:rsidTr="00014472">
        <w:trPr>
          <w:trHeight w:val="280"/>
        </w:trPr>
        <w:tc>
          <w:tcPr>
            <w:tcW w:w="4320" w:type="dxa"/>
            <w:shd w:val="clear" w:color="auto" w:fill="auto"/>
            <w:noWrap/>
            <w:vAlign w:val="bottom"/>
          </w:tcPr>
          <w:p w14:paraId="445DF747" w14:textId="77777777" w:rsidR="00014472" w:rsidRPr="00515CF0" w:rsidRDefault="00014472" w:rsidP="00F16257">
            <w:pPr>
              <w:jc w:val="both"/>
              <w:rPr>
                <w:rFonts w:asciiTheme="majorHAnsi" w:eastAsia="Times New Roman" w:hAnsiTheme="majorHAnsi" w:cstheme="majorHAnsi"/>
                <w:b/>
                <w:color w:val="000000"/>
                <w:szCs w:val="22"/>
              </w:rPr>
            </w:pPr>
            <w:r w:rsidRPr="00515CF0">
              <w:rPr>
                <w:rFonts w:asciiTheme="majorHAnsi" w:eastAsia="Times New Roman" w:hAnsiTheme="majorHAnsi" w:cstheme="majorHAnsi"/>
                <w:b/>
                <w:color w:val="000000"/>
                <w:szCs w:val="22"/>
              </w:rPr>
              <w:t>Budget Item</w:t>
            </w:r>
          </w:p>
        </w:tc>
        <w:tc>
          <w:tcPr>
            <w:tcW w:w="1620" w:type="dxa"/>
            <w:shd w:val="clear" w:color="auto" w:fill="auto"/>
            <w:noWrap/>
            <w:vAlign w:val="bottom"/>
          </w:tcPr>
          <w:p w14:paraId="63E43110" w14:textId="77777777" w:rsidR="00014472" w:rsidRPr="00515CF0" w:rsidRDefault="00014472" w:rsidP="00F16257">
            <w:pPr>
              <w:jc w:val="both"/>
              <w:rPr>
                <w:rFonts w:asciiTheme="majorHAnsi" w:eastAsia="Times New Roman" w:hAnsiTheme="majorHAnsi" w:cstheme="majorHAnsi"/>
                <w:b/>
                <w:color w:val="000000"/>
                <w:szCs w:val="22"/>
              </w:rPr>
            </w:pPr>
            <w:r w:rsidRPr="00515CF0">
              <w:rPr>
                <w:rFonts w:asciiTheme="majorHAnsi" w:eastAsia="Times New Roman" w:hAnsiTheme="majorHAnsi" w:cstheme="majorHAnsi"/>
                <w:b/>
                <w:color w:val="000000"/>
                <w:szCs w:val="22"/>
              </w:rPr>
              <w:t>Cost in USD</w:t>
            </w:r>
          </w:p>
        </w:tc>
      </w:tr>
      <w:tr w:rsidR="00014472" w:rsidRPr="00515CF0" w14:paraId="783AC0AF" w14:textId="77777777" w:rsidTr="00014472">
        <w:trPr>
          <w:trHeight w:val="280"/>
        </w:trPr>
        <w:tc>
          <w:tcPr>
            <w:tcW w:w="4320" w:type="dxa"/>
            <w:shd w:val="clear" w:color="auto" w:fill="auto"/>
            <w:noWrap/>
            <w:vAlign w:val="bottom"/>
            <w:hideMark/>
          </w:tcPr>
          <w:p w14:paraId="2AEAD71D" w14:textId="77777777" w:rsidR="00014472" w:rsidRPr="00515CF0" w:rsidRDefault="00014472" w:rsidP="00F16257">
            <w:pPr>
              <w:jc w:val="both"/>
              <w:rPr>
                <w:rFonts w:asciiTheme="majorHAnsi" w:eastAsia="Times New Roman" w:hAnsiTheme="majorHAnsi" w:cstheme="majorHAnsi"/>
                <w:color w:val="000000"/>
                <w:szCs w:val="22"/>
              </w:rPr>
            </w:pPr>
            <w:r w:rsidRPr="00515CF0">
              <w:rPr>
                <w:rFonts w:asciiTheme="majorHAnsi" w:eastAsia="Times New Roman" w:hAnsiTheme="majorHAnsi" w:cstheme="majorHAnsi"/>
                <w:color w:val="000000"/>
                <w:szCs w:val="22"/>
              </w:rPr>
              <w:t>Personnel</w:t>
            </w:r>
            <w:r w:rsidR="005C21D1" w:rsidRPr="00515CF0">
              <w:rPr>
                <w:rFonts w:asciiTheme="majorHAnsi" w:eastAsia="Times New Roman" w:hAnsiTheme="majorHAnsi" w:cstheme="majorHAnsi"/>
                <w:color w:val="000000"/>
                <w:szCs w:val="22"/>
              </w:rPr>
              <w:t xml:space="preserve"> salaries</w:t>
            </w:r>
          </w:p>
        </w:tc>
        <w:tc>
          <w:tcPr>
            <w:tcW w:w="1620" w:type="dxa"/>
            <w:shd w:val="clear" w:color="auto" w:fill="auto"/>
            <w:noWrap/>
            <w:vAlign w:val="bottom"/>
            <w:hideMark/>
          </w:tcPr>
          <w:p w14:paraId="0E4B424A" w14:textId="19982081" w:rsidR="00014472" w:rsidRPr="00515CF0" w:rsidRDefault="00014472" w:rsidP="00F16257">
            <w:pPr>
              <w:jc w:val="both"/>
              <w:rPr>
                <w:rFonts w:asciiTheme="majorHAnsi" w:eastAsia="Times New Roman" w:hAnsiTheme="majorHAnsi" w:cstheme="majorHAnsi"/>
                <w:color w:val="000000"/>
                <w:szCs w:val="22"/>
              </w:rPr>
            </w:pPr>
            <w:r w:rsidRPr="00515CF0">
              <w:rPr>
                <w:rFonts w:asciiTheme="majorHAnsi" w:eastAsia="Times New Roman" w:hAnsiTheme="majorHAnsi" w:cstheme="majorHAnsi"/>
                <w:color w:val="000000"/>
                <w:szCs w:val="22"/>
              </w:rPr>
              <w:t xml:space="preserve"> </w:t>
            </w:r>
            <w:r w:rsidR="00665377">
              <w:rPr>
                <w:rFonts w:asciiTheme="majorHAnsi" w:eastAsia="Times New Roman" w:hAnsiTheme="majorHAnsi" w:cstheme="majorHAnsi"/>
                <w:color w:val="000000"/>
                <w:szCs w:val="22"/>
              </w:rPr>
              <w:t>1</w:t>
            </w:r>
            <w:r w:rsidR="0019583E">
              <w:rPr>
                <w:rFonts w:asciiTheme="majorHAnsi" w:eastAsia="Times New Roman" w:hAnsiTheme="majorHAnsi" w:cstheme="majorHAnsi"/>
                <w:color w:val="000000"/>
                <w:szCs w:val="22"/>
              </w:rPr>
              <w:t>5</w:t>
            </w:r>
            <w:r w:rsidR="00665377">
              <w:rPr>
                <w:rFonts w:asciiTheme="majorHAnsi" w:eastAsia="Times New Roman" w:hAnsiTheme="majorHAnsi" w:cstheme="majorHAnsi"/>
                <w:color w:val="000000"/>
                <w:szCs w:val="22"/>
              </w:rPr>
              <w:t>,600</w:t>
            </w:r>
            <w:r w:rsidRPr="00515CF0">
              <w:rPr>
                <w:rFonts w:asciiTheme="majorHAnsi" w:eastAsia="Times New Roman" w:hAnsiTheme="majorHAnsi" w:cstheme="majorHAnsi"/>
                <w:color w:val="000000"/>
                <w:szCs w:val="22"/>
              </w:rPr>
              <w:t xml:space="preserve">      </w:t>
            </w:r>
          </w:p>
        </w:tc>
      </w:tr>
      <w:tr w:rsidR="005C21D1" w:rsidRPr="00515CF0" w14:paraId="1EF67756" w14:textId="77777777" w:rsidTr="00014472">
        <w:trPr>
          <w:trHeight w:val="280"/>
        </w:trPr>
        <w:tc>
          <w:tcPr>
            <w:tcW w:w="4320" w:type="dxa"/>
            <w:shd w:val="clear" w:color="auto" w:fill="auto"/>
            <w:noWrap/>
            <w:vAlign w:val="bottom"/>
          </w:tcPr>
          <w:p w14:paraId="00FEF56F" w14:textId="77777777" w:rsidR="005C21D1" w:rsidRPr="00515CF0" w:rsidRDefault="005C21D1" w:rsidP="00F16257">
            <w:pPr>
              <w:jc w:val="both"/>
              <w:rPr>
                <w:rFonts w:asciiTheme="majorHAnsi" w:eastAsia="Times New Roman" w:hAnsiTheme="majorHAnsi" w:cstheme="majorHAnsi"/>
                <w:b/>
                <w:color w:val="000000"/>
                <w:szCs w:val="22"/>
              </w:rPr>
            </w:pPr>
            <w:r w:rsidRPr="00515CF0">
              <w:rPr>
                <w:rFonts w:asciiTheme="majorHAnsi" w:eastAsia="Times New Roman" w:hAnsiTheme="majorHAnsi" w:cstheme="majorHAnsi"/>
                <w:b/>
                <w:color w:val="000000"/>
                <w:szCs w:val="22"/>
              </w:rPr>
              <w:t>Other Direct Costs</w:t>
            </w:r>
          </w:p>
        </w:tc>
        <w:tc>
          <w:tcPr>
            <w:tcW w:w="1620" w:type="dxa"/>
            <w:shd w:val="clear" w:color="auto" w:fill="auto"/>
            <w:noWrap/>
            <w:vAlign w:val="bottom"/>
          </w:tcPr>
          <w:p w14:paraId="501A608A" w14:textId="77777777" w:rsidR="005C21D1" w:rsidRPr="00515CF0" w:rsidRDefault="005C21D1" w:rsidP="00F16257">
            <w:pPr>
              <w:jc w:val="both"/>
              <w:rPr>
                <w:rFonts w:asciiTheme="majorHAnsi" w:eastAsia="Times New Roman" w:hAnsiTheme="majorHAnsi" w:cstheme="majorHAnsi"/>
                <w:color w:val="000000"/>
                <w:szCs w:val="22"/>
              </w:rPr>
            </w:pPr>
          </w:p>
        </w:tc>
      </w:tr>
      <w:tr w:rsidR="000E4565" w:rsidRPr="00515CF0" w14:paraId="55E33556" w14:textId="77777777" w:rsidTr="00014472">
        <w:trPr>
          <w:trHeight w:val="280"/>
        </w:trPr>
        <w:tc>
          <w:tcPr>
            <w:tcW w:w="4320" w:type="dxa"/>
            <w:shd w:val="clear" w:color="auto" w:fill="auto"/>
            <w:noWrap/>
            <w:vAlign w:val="bottom"/>
          </w:tcPr>
          <w:p w14:paraId="13275DCA" w14:textId="024C326C" w:rsidR="000E4565" w:rsidRPr="00515CF0" w:rsidRDefault="000E4565" w:rsidP="00F16257">
            <w:pPr>
              <w:jc w:val="both"/>
              <w:rPr>
                <w:rFonts w:asciiTheme="majorHAnsi" w:eastAsia="Times New Roman" w:hAnsiTheme="majorHAnsi" w:cstheme="majorHAnsi"/>
                <w:color w:val="000000"/>
                <w:szCs w:val="22"/>
              </w:rPr>
            </w:pPr>
            <w:r w:rsidRPr="00515CF0">
              <w:rPr>
                <w:rFonts w:asciiTheme="majorHAnsi" w:eastAsia="Times New Roman" w:hAnsiTheme="majorHAnsi" w:cstheme="majorHAnsi"/>
                <w:color w:val="000000"/>
                <w:szCs w:val="22"/>
              </w:rPr>
              <w:t>National Dissemination Workshop</w:t>
            </w:r>
          </w:p>
        </w:tc>
        <w:tc>
          <w:tcPr>
            <w:tcW w:w="1620" w:type="dxa"/>
            <w:shd w:val="clear" w:color="auto" w:fill="auto"/>
            <w:noWrap/>
            <w:vAlign w:val="bottom"/>
          </w:tcPr>
          <w:p w14:paraId="6845B951" w14:textId="5758A045" w:rsidR="000E4565" w:rsidRPr="00515CF0" w:rsidRDefault="00AF5081" w:rsidP="00F16257">
            <w:pPr>
              <w:jc w:val="both"/>
              <w:rPr>
                <w:rFonts w:asciiTheme="majorHAnsi" w:eastAsia="Times New Roman" w:hAnsiTheme="majorHAnsi" w:cstheme="majorHAnsi"/>
                <w:color w:val="000000"/>
                <w:szCs w:val="22"/>
              </w:rPr>
            </w:pPr>
            <w:r>
              <w:rPr>
                <w:rFonts w:asciiTheme="majorHAnsi" w:eastAsia="Times New Roman" w:hAnsiTheme="majorHAnsi" w:cstheme="majorHAnsi"/>
                <w:color w:val="000000"/>
                <w:szCs w:val="22"/>
              </w:rPr>
              <w:t>1</w:t>
            </w:r>
            <w:r w:rsidR="000E4565" w:rsidRPr="00515CF0">
              <w:rPr>
                <w:rFonts w:asciiTheme="majorHAnsi" w:eastAsia="Times New Roman" w:hAnsiTheme="majorHAnsi" w:cstheme="majorHAnsi"/>
                <w:color w:val="000000"/>
                <w:szCs w:val="22"/>
              </w:rPr>
              <w:t>,000</w:t>
            </w:r>
          </w:p>
        </w:tc>
      </w:tr>
      <w:tr w:rsidR="00014472" w:rsidRPr="00515CF0" w14:paraId="1AA827E5" w14:textId="77777777" w:rsidTr="00014472">
        <w:trPr>
          <w:trHeight w:val="280"/>
        </w:trPr>
        <w:tc>
          <w:tcPr>
            <w:tcW w:w="4320" w:type="dxa"/>
            <w:shd w:val="clear" w:color="auto" w:fill="auto"/>
            <w:noWrap/>
            <w:vAlign w:val="bottom"/>
            <w:hideMark/>
          </w:tcPr>
          <w:p w14:paraId="75C5CA18" w14:textId="77777777" w:rsidR="00014472" w:rsidRPr="00515CF0" w:rsidRDefault="00014472" w:rsidP="00F16257">
            <w:pPr>
              <w:jc w:val="both"/>
              <w:rPr>
                <w:rFonts w:asciiTheme="majorHAnsi" w:eastAsia="Times New Roman" w:hAnsiTheme="majorHAnsi" w:cstheme="majorHAnsi"/>
                <w:color w:val="000000"/>
                <w:szCs w:val="22"/>
              </w:rPr>
            </w:pPr>
            <w:r w:rsidRPr="00515CF0">
              <w:rPr>
                <w:rFonts w:asciiTheme="majorHAnsi" w:eastAsia="Times New Roman" w:hAnsiTheme="majorHAnsi" w:cstheme="majorHAnsi"/>
                <w:color w:val="000000"/>
                <w:szCs w:val="22"/>
              </w:rPr>
              <w:t>Supplies (printing, phone)</w:t>
            </w:r>
          </w:p>
        </w:tc>
        <w:tc>
          <w:tcPr>
            <w:tcW w:w="1620" w:type="dxa"/>
            <w:shd w:val="clear" w:color="auto" w:fill="auto"/>
            <w:noWrap/>
            <w:vAlign w:val="bottom"/>
            <w:hideMark/>
          </w:tcPr>
          <w:p w14:paraId="3FE6F740" w14:textId="67E2959B" w:rsidR="00014472" w:rsidRPr="00515CF0" w:rsidRDefault="00014472" w:rsidP="00F16257">
            <w:pPr>
              <w:jc w:val="both"/>
              <w:rPr>
                <w:rFonts w:asciiTheme="majorHAnsi" w:eastAsia="Times New Roman" w:hAnsiTheme="majorHAnsi" w:cstheme="majorHAnsi"/>
                <w:color w:val="000000"/>
                <w:szCs w:val="22"/>
              </w:rPr>
            </w:pPr>
            <w:r w:rsidRPr="00515CF0">
              <w:rPr>
                <w:rFonts w:asciiTheme="majorHAnsi" w:eastAsia="Times New Roman" w:hAnsiTheme="majorHAnsi" w:cstheme="majorHAnsi"/>
                <w:color w:val="000000"/>
                <w:szCs w:val="22"/>
              </w:rPr>
              <w:t xml:space="preserve"> </w:t>
            </w:r>
            <w:r w:rsidR="00B8237C">
              <w:rPr>
                <w:rFonts w:asciiTheme="majorHAnsi" w:eastAsia="Times New Roman" w:hAnsiTheme="majorHAnsi" w:cstheme="majorHAnsi"/>
                <w:color w:val="000000"/>
                <w:szCs w:val="22"/>
              </w:rPr>
              <w:t>300</w:t>
            </w:r>
            <w:r w:rsidRPr="00515CF0">
              <w:rPr>
                <w:rFonts w:asciiTheme="majorHAnsi" w:eastAsia="Times New Roman" w:hAnsiTheme="majorHAnsi" w:cstheme="majorHAnsi"/>
                <w:color w:val="000000"/>
                <w:szCs w:val="22"/>
              </w:rPr>
              <w:t xml:space="preserve">      </w:t>
            </w:r>
          </w:p>
        </w:tc>
      </w:tr>
      <w:tr w:rsidR="005C21D1" w:rsidRPr="00515CF0" w14:paraId="702B84B1" w14:textId="77777777" w:rsidTr="00014472">
        <w:trPr>
          <w:trHeight w:val="280"/>
        </w:trPr>
        <w:tc>
          <w:tcPr>
            <w:tcW w:w="4320" w:type="dxa"/>
            <w:shd w:val="clear" w:color="auto" w:fill="auto"/>
            <w:noWrap/>
            <w:vAlign w:val="bottom"/>
          </w:tcPr>
          <w:p w14:paraId="400F4745" w14:textId="77777777" w:rsidR="005C21D1" w:rsidRPr="00515CF0" w:rsidRDefault="005C21D1" w:rsidP="00F16257">
            <w:pPr>
              <w:jc w:val="both"/>
              <w:rPr>
                <w:rFonts w:asciiTheme="majorHAnsi" w:eastAsia="Times New Roman" w:hAnsiTheme="majorHAnsi" w:cstheme="majorHAnsi"/>
                <w:b/>
                <w:color w:val="000000"/>
                <w:szCs w:val="22"/>
              </w:rPr>
            </w:pPr>
            <w:r w:rsidRPr="00515CF0">
              <w:rPr>
                <w:rFonts w:asciiTheme="majorHAnsi" w:eastAsia="Times New Roman" w:hAnsiTheme="majorHAnsi" w:cstheme="majorHAnsi"/>
                <w:b/>
                <w:color w:val="000000"/>
                <w:szCs w:val="22"/>
              </w:rPr>
              <w:t>Indirect Costs</w:t>
            </w:r>
          </w:p>
        </w:tc>
        <w:tc>
          <w:tcPr>
            <w:tcW w:w="1620" w:type="dxa"/>
            <w:shd w:val="clear" w:color="auto" w:fill="auto"/>
            <w:noWrap/>
            <w:vAlign w:val="bottom"/>
          </w:tcPr>
          <w:p w14:paraId="252DFC0F" w14:textId="77777777" w:rsidR="005C21D1" w:rsidRPr="00515CF0" w:rsidRDefault="005C21D1" w:rsidP="00F16257">
            <w:pPr>
              <w:jc w:val="both"/>
              <w:rPr>
                <w:rFonts w:asciiTheme="majorHAnsi" w:eastAsia="Times New Roman" w:hAnsiTheme="majorHAnsi" w:cstheme="majorHAnsi"/>
                <w:color w:val="000000"/>
                <w:szCs w:val="22"/>
              </w:rPr>
            </w:pPr>
          </w:p>
        </w:tc>
      </w:tr>
      <w:tr w:rsidR="005C21D1" w:rsidRPr="00515CF0" w14:paraId="397DDDB7" w14:textId="77777777" w:rsidTr="00014472">
        <w:trPr>
          <w:trHeight w:val="280"/>
        </w:trPr>
        <w:tc>
          <w:tcPr>
            <w:tcW w:w="4320" w:type="dxa"/>
            <w:shd w:val="clear" w:color="auto" w:fill="auto"/>
            <w:noWrap/>
            <w:vAlign w:val="bottom"/>
          </w:tcPr>
          <w:p w14:paraId="508E71D0" w14:textId="0FB7B016" w:rsidR="005C21D1" w:rsidRPr="00515CF0" w:rsidRDefault="005C21D1" w:rsidP="00F16257">
            <w:pPr>
              <w:jc w:val="both"/>
              <w:rPr>
                <w:rFonts w:asciiTheme="majorHAnsi" w:eastAsia="Times New Roman" w:hAnsiTheme="majorHAnsi" w:cstheme="majorHAnsi"/>
                <w:color w:val="000000"/>
                <w:szCs w:val="22"/>
              </w:rPr>
            </w:pPr>
            <w:r w:rsidRPr="00515CF0">
              <w:rPr>
                <w:rFonts w:asciiTheme="majorHAnsi" w:eastAsia="Times New Roman" w:hAnsiTheme="majorHAnsi" w:cstheme="majorHAnsi"/>
                <w:color w:val="000000"/>
                <w:szCs w:val="22"/>
              </w:rPr>
              <w:t xml:space="preserve">Overhead </w:t>
            </w:r>
          </w:p>
        </w:tc>
        <w:tc>
          <w:tcPr>
            <w:tcW w:w="1620" w:type="dxa"/>
            <w:shd w:val="clear" w:color="auto" w:fill="auto"/>
            <w:noWrap/>
            <w:vAlign w:val="bottom"/>
          </w:tcPr>
          <w:p w14:paraId="03B1079E" w14:textId="350582F7" w:rsidR="005C21D1" w:rsidRPr="00515CF0" w:rsidRDefault="005C21D1" w:rsidP="00F16257">
            <w:pPr>
              <w:jc w:val="both"/>
              <w:rPr>
                <w:rFonts w:asciiTheme="majorHAnsi" w:eastAsia="Times New Roman" w:hAnsiTheme="majorHAnsi" w:cstheme="majorHAnsi"/>
                <w:color w:val="000000"/>
                <w:szCs w:val="22"/>
              </w:rPr>
            </w:pPr>
            <w:r w:rsidRPr="00515CF0">
              <w:rPr>
                <w:rFonts w:asciiTheme="majorHAnsi" w:eastAsia="Times New Roman" w:hAnsiTheme="majorHAnsi" w:cstheme="majorHAnsi"/>
                <w:color w:val="000000"/>
                <w:szCs w:val="22"/>
              </w:rPr>
              <w:t xml:space="preserve"> </w:t>
            </w:r>
            <w:r w:rsidR="005E1920">
              <w:rPr>
                <w:rFonts w:asciiTheme="majorHAnsi" w:eastAsia="Times New Roman" w:hAnsiTheme="majorHAnsi" w:cstheme="majorHAnsi"/>
                <w:color w:val="000000"/>
                <w:szCs w:val="22"/>
              </w:rPr>
              <w:t>2</w:t>
            </w:r>
            <w:r w:rsidR="0019583E">
              <w:rPr>
                <w:rFonts w:asciiTheme="majorHAnsi" w:eastAsia="Times New Roman" w:hAnsiTheme="majorHAnsi" w:cstheme="majorHAnsi"/>
                <w:color w:val="000000"/>
                <w:szCs w:val="22"/>
              </w:rPr>
              <w:t>,</w:t>
            </w:r>
            <w:r w:rsidR="00B94C96">
              <w:rPr>
                <w:rFonts w:asciiTheme="majorHAnsi" w:eastAsia="Times New Roman" w:hAnsiTheme="majorHAnsi" w:cstheme="majorHAnsi"/>
                <w:color w:val="000000"/>
                <w:szCs w:val="22"/>
              </w:rPr>
              <w:t>197</w:t>
            </w:r>
            <w:r w:rsidRPr="00515CF0">
              <w:rPr>
                <w:rFonts w:asciiTheme="majorHAnsi" w:eastAsia="Times New Roman" w:hAnsiTheme="majorHAnsi" w:cstheme="majorHAnsi"/>
                <w:color w:val="000000"/>
                <w:szCs w:val="22"/>
              </w:rPr>
              <w:t xml:space="preserve">     </w:t>
            </w:r>
          </w:p>
        </w:tc>
      </w:tr>
      <w:tr w:rsidR="005C21D1" w:rsidRPr="00515CF0" w14:paraId="5032A0A7" w14:textId="77777777" w:rsidTr="00014472">
        <w:trPr>
          <w:trHeight w:val="280"/>
        </w:trPr>
        <w:tc>
          <w:tcPr>
            <w:tcW w:w="4320" w:type="dxa"/>
            <w:shd w:val="clear" w:color="auto" w:fill="auto"/>
            <w:noWrap/>
            <w:vAlign w:val="bottom"/>
            <w:hideMark/>
          </w:tcPr>
          <w:p w14:paraId="2CAF7A7E" w14:textId="77777777" w:rsidR="005C21D1" w:rsidRPr="00515CF0" w:rsidRDefault="005C21D1" w:rsidP="00F16257">
            <w:pPr>
              <w:jc w:val="both"/>
              <w:rPr>
                <w:rFonts w:asciiTheme="majorHAnsi" w:eastAsia="Times New Roman" w:hAnsiTheme="majorHAnsi" w:cstheme="majorHAnsi"/>
                <w:b/>
                <w:bCs/>
                <w:color w:val="000000"/>
                <w:szCs w:val="22"/>
              </w:rPr>
            </w:pPr>
            <w:r w:rsidRPr="00515CF0">
              <w:rPr>
                <w:rFonts w:asciiTheme="majorHAnsi" w:eastAsia="Times New Roman" w:hAnsiTheme="majorHAnsi" w:cstheme="majorHAnsi"/>
                <w:b/>
                <w:bCs/>
                <w:color w:val="000000"/>
                <w:szCs w:val="22"/>
              </w:rPr>
              <w:t>TOTAL</w:t>
            </w:r>
          </w:p>
        </w:tc>
        <w:tc>
          <w:tcPr>
            <w:tcW w:w="1620" w:type="dxa"/>
            <w:shd w:val="clear" w:color="auto" w:fill="auto"/>
            <w:noWrap/>
            <w:vAlign w:val="bottom"/>
            <w:hideMark/>
          </w:tcPr>
          <w:p w14:paraId="62FAF269" w14:textId="039E636A" w:rsidR="005C21D1" w:rsidRPr="00515CF0" w:rsidRDefault="005C21D1" w:rsidP="00F16257">
            <w:pPr>
              <w:jc w:val="both"/>
              <w:rPr>
                <w:rFonts w:asciiTheme="majorHAnsi" w:eastAsia="Times New Roman" w:hAnsiTheme="majorHAnsi" w:cstheme="majorHAnsi"/>
                <w:color w:val="000000"/>
                <w:szCs w:val="22"/>
              </w:rPr>
            </w:pPr>
            <w:r w:rsidRPr="00515CF0">
              <w:rPr>
                <w:rFonts w:asciiTheme="majorHAnsi" w:eastAsia="Times New Roman" w:hAnsiTheme="majorHAnsi" w:cstheme="majorHAnsi"/>
                <w:color w:val="000000"/>
                <w:szCs w:val="22"/>
              </w:rPr>
              <w:t xml:space="preserve"> </w:t>
            </w:r>
            <w:r w:rsidR="00FB0C5D">
              <w:rPr>
                <w:rFonts w:asciiTheme="majorHAnsi" w:eastAsia="Times New Roman" w:hAnsiTheme="majorHAnsi" w:cstheme="majorHAnsi"/>
                <w:color w:val="000000"/>
                <w:szCs w:val="22"/>
              </w:rPr>
              <w:t>19,</w:t>
            </w:r>
            <w:r w:rsidR="00D00681">
              <w:rPr>
                <w:rFonts w:asciiTheme="majorHAnsi" w:eastAsia="Times New Roman" w:hAnsiTheme="majorHAnsi" w:cstheme="majorHAnsi"/>
                <w:color w:val="000000"/>
                <w:szCs w:val="22"/>
              </w:rPr>
              <w:t>197</w:t>
            </w:r>
            <w:r w:rsidRPr="00515CF0">
              <w:rPr>
                <w:rFonts w:asciiTheme="majorHAnsi" w:eastAsia="Times New Roman" w:hAnsiTheme="majorHAnsi" w:cstheme="majorHAnsi"/>
                <w:color w:val="000000"/>
                <w:szCs w:val="22"/>
              </w:rPr>
              <w:t xml:space="preserve">      </w:t>
            </w:r>
          </w:p>
        </w:tc>
      </w:tr>
    </w:tbl>
    <w:p w14:paraId="67F1784F" w14:textId="77777777" w:rsidR="00DF309A" w:rsidRPr="00515CF0" w:rsidRDefault="00DF309A" w:rsidP="00F16257">
      <w:pPr>
        <w:jc w:val="both"/>
        <w:rPr>
          <w:rFonts w:asciiTheme="majorHAnsi" w:hAnsiTheme="majorHAnsi" w:cstheme="majorHAnsi"/>
          <w:b/>
        </w:rPr>
      </w:pPr>
    </w:p>
    <w:p w14:paraId="35A163D0" w14:textId="77777777" w:rsidR="00707E9B" w:rsidRPr="00515CF0" w:rsidRDefault="00707E9B" w:rsidP="00F16257">
      <w:pPr>
        <w:pStyle w:val="Heading1"/>
        <w:jc w:val="both"/>
        <w:rPr>
          <w:rFonts w:asciiTheme="majorHAnsi" w:hAnsiTheme="majorHAnsi" w:cstheme="majorHAnsi"/>
          <w:sz w:val="24"/>
          <w:szCs w:val="24"/>
        </w:rPr>
      </w:pPr>
      <w:r w:rsidRPr="00515CF0">
        <w:rPr>
          <w:rFonts w:asciiTheme="majorHAnsi" w:hAnsiTheme="majorHAnsi" w:cstheme="majorHAnsi"/>
          <w:sz w:val="24"/>
          <w:szCs w:val="24"/>
        </w:rPr>
        <w:t>Budget Notes</w:t>
      </w:r>
    </w:p>
    <w:p w14:paraId="0B7EF8BC" w14:textId="77777777" w:rsidR="00707E9B" w:rsidRPr="00515CF0" w:rsidRDefault="00707E9B" w:rsidP="00F16257">
      <w:pPr>
        <w:pStyle w:val="Heading1"/>
        <w:jc w:val="both"/>
        <w:rPr>
          <w:rFonts w:asciiTheme="majorHAnsi" w:hAnsiTheme="majorHAnsi" w:cstheme="majorHAnsi"/>
          <w:b w:val="0"/>
          <w:sz w:val="24"/>
          <w:szCs w:val="24"/>
        </w:rPr>
      </w:pPr>
      <w:r w:rsidRPr="00515CF0">
        <w:rPr>
          <w:rFonts w:asciiTheme="majorHAnsi" w:hAnsiTheme="majorHAnsi" w:cstheme="majorHAnsi"/>
          <w:b w:val="0"/>
          <w:sz w:val="24"/>
          <w:szCs w:val="24"/>
        </w:rPr>
        <w:t>Budget for the case study development is designed based on set of activities and has three main categories:</w:t>
      </w:r>
    </w:p>
    <w:p w14:paraId="2118F36E" w14:textId="77777777" w:rsidR="00707E9B" w:rsidRPr="00515CF0" w:rsidRDefault="00707E9B" w:rsidP="00F16257">
      <w:pPr>
        <w:numPr>
          <w:ilvl w:val="0"/>
          <w:numId w:val="29"/>
        </w:numPr>
        <w:ind w:left="0" w:firstLine="0"/>
        <w:jc w:val="both"/>
        <w:rPr>
          <w:rFonts w:asciiTheme="majorHAnsi" w:hAnsiTheme="majorHAnsi" w:cstheme="majorHAnsi"/>
        </w:rPr>
      </w:pPr>
      <w:r w:rsidRPr="00515CF0">
        <w:rPr>
          <w:rFonts w:asciiTheme="majorHAnsi" w:hAnsiTheme="majorHAnsi" w:cstheme="majorHAnsi"/>
        </w:rPr>
        <w:t>Personnel Salaries</w:t>
      </w:r>
    </w:p>
    <w:p w14:paraId="553F801A" w14:textId="77777777" w:rsidR="00707E9B" w:rsidRPr="00515CF0" w:rsidRDefault="005C21D1" w:rsidP="00F16257">
      <w:pPr>
        <w:numPr>
          <w:ilvl w:val="0"/>
          <w:numId w:val="29"/>
        </w:numPr>
        <w:ind w:left="0" w:firstLine="0"/>
        <w:jc w:val="both"/>
        <w:rPr>
          <w:rFonts w:asciiTheme="majorHAnsi" w:hAnsiTheme="majorHAnsi" w:cstheme="majorHAnsi"/>
        </w:rPr>
      </w:pPr>
      <w:r w:rsidRPr="00515CF0">
        <w:rPr>
          <w:rFonts w:asciiTheme="majorHAnsi" w:hAnsiTheme="majorHAnsi" w:cstheme="majorHAnsi"/>
        </w:rPr>
        <w:t>Other Direct Costs</w:t>
      </w:r>
    </w:p>
    <w:p w14:paraId="002247AE" w14:textId="77777777" w:rsidR="00707E9B" w:rsidRPr="00515CF0" w:rsidRDefault="00707E9B" w:rsidP="00F16257">
      <w:pPr>
        <w:numPr>
          <w:ilvl w:val="0"/>
          <w:numId w:val="29"/>
        </w:numPr>
        <w:ind w:left="0" w:firstLine="0"/>
        <w:jc w:val="both"/>
        <w:rPr>
          <w:rFonts w:asciiTheme="majorHAnsi" w:hAnsiTheme="majorHAnsi" w:cstheme="majorHAnsi"/>
        </w:rPr>
      </w:pPr>
      <w:r w:rsidRPr="00515CF0">
        <w:rPr>
          <w:rFonts w:asciiTheme="majorHAnsi" w:hAnsiTheme="majorHAnsi" w:cstheme="majorHAnsi"/>
        </w:rPr>
        <w:t>Indirect Costs</w:t>
      </w:r>
    </w:p>
    <w:p w14:paraId="3E2496B5" w14:textId="4171FBF2" w:rsidR="00707E9B" w:rsidRPr="00515CF0" w:rsidRDefault="00707E9B" w:rsidP="00F16257">
      <w:pPr>
        <w:jc w:val="both"/>
        <w:rPr>
          <w:rFonts w:asciiTheme="majorHAnsi" w:hAnsiTheme="majorHAnsi" w:cstheme="majorHAnsi"/>
        </w:rPr>
      </w:pPr>
      <w:r w:rsidRPr="00515CF0">
        <w:rPr>
          <w:rFonts w:asciiTheme="majorHAnsi" w:hAnsiTheme="majorHAnsi" w:cstheme="majorHAnsi"/>
        </w:rPr>
        <w:t>Duration o</w:t>
      </w:r>
      <w:r w:rsidR="005C21D1" w:rsidRPr="00515CF0">
        <w:rPr>
          <w:rFonts w:asciiTheme="majorHAnsi" w:hAnsiTheme="majorHAnsi" w:cstheme="majorHAnsi"/>
        </w:rPr>
        <w:t xml:space="preserve">f the project is estimated at </w:t>
      </w:r>
      <w:r w:rsidR="00484E3B">
        <w:rPr>
          <w:rFonts w:asciiTheme="majorHAnsi" w:hAnsiTheme="majorHAnsi" w:cstheme="majorHAnsi"/>
        </w:rPr>
        <w:t>6</w:t>
      </w:r>
      <w:r w:rsidRPr="00515CF0">
        <w:rPr>
          <w:rFonts w:asciiTheme="majorHAnsi" w:hAnsiTheme="majorHAnsi" w:cstheme="majorHAnsi"/>
        </w:rPr>
        <w:t xml:space="preserve"> months and t</w:t>
      </w:r>
      <w:r w:rsidR="005C21D1" w:rsidRPr="00515CF0">
        <w:rPr>
          <w:rFonts w:asciiTheme="majorHAnsi" w:hAnsiTheme="majorHAnsi" w:cstheme="majorHAnsi"/>
        </w:rPr>
        <w:t xml:space="preserve">he total cost of the budget is </w:t>
      </w:r>
      <w:r w:rsidR="00484E3B">
        <w:rPr>
          <w:rFonts w:asciiTheme="majorHAnsi" w:hAnsiTheme="majorHAnsi" w:cstheme="majorHAnsi"/>
        </w:rPr>
        <w:t>19,900</w:t>
      </w:r>
      <w:r w:rsidRPr="00515CF0">
        <w:rPr>
          <w:rFonts w:asciiTheme="majorHAnsi" w:hAnsiTheme="majorHAnsi" w:cstheme="majorHAnsi"/>
        </w:rPr>
        <w:t xml:space="preserve">USD. </w:t>
      </w:r>
    </w:p>
    <w:p w14:paraId="1CB675F3" w14:textId="77777777" w:rsidR="00707E9B" w:rsidRPr="00515CF0" w:rsidRDefault="00707E9B" w:rsidP="00F16257">
      <w:pPr>
        <w:pStyle w:val="Heading1"/>
        <w:jc w:val="both"/>
        <w:rPr>
          <w:rFonts w:asciiTheme="majorHAnsi" w:hAnsiTheme="majorHAnsi" w:cstheme="majorHAnsi"/>
          <w:sz w:val="24"/>
          <w:szCs w:val="24"/>
        </w:rPr>
      </w:pPr>
      <w:r w:rsidRPr="00515CF0">
        <w:rPr>
          <w:rFonts w:asciiTheme="majorHAnsi" w:hAnsiTheme="majorHAnsi" w:cstheme="majorHAnsi"/>
          <w:sz w:val="24"/>
          <w:szCs w:val="24"/>
        </w:rPr>
        <w:t>Personnel Salaries:</w:t>
      </w:r>
    </w:p>
    <w:p w14:paraId="1ED7A520" w14:textId="2CA0B142" w:rsidR="00707E9B" w:rsidRPr="00515CF0" w:rsidRDefault="00707E9B" w:rsidP="00F16257">
      <w:pPr>
        <w:jc w:val="both"/>
        <w:rPr>
          <w:rFonts w:asciiTheme="majorHAnsi" w:hAnsiTheme="majorHAnsi" w:cstheme="majorHAnsi"/>
        </w:rPr>
      </w:pPr>
      <w:r w:rsidRPr="00515CF0">
        <w:rPr>
          <w:rFonts w:asciiTheme="majorHAnsi" w:hAnsiTheme="majorHAnsi" w:cstheme="majorHAnsi"/>
        </w:rPr>
        <w:t>Total per</w:t>
      </w:r>
      <w:r w:rsidR="005C21D1" w:rsidRPr="00515CF0">
        <w:rPr>
          <w:rFonts w:asciiTheme="majorHAnsi" w:hAnsiTheme="majorHAnsi" w:cstheme="majorHAnsi"/>
        </w:rPr>
        <w:t xml:space="preserve">sonnel costs are estimated at </w:t>
      </w:r>
      <w:r w:rsidR="00484E3B">
        <w:rPr>
          <w:rFonts w:asciiTheme="majorHAnsi" w:hAnsiTheme="majorHAnsi" w:cstheme="majorHAnsi"/>
        </w:rPr>
        <w:t xml:space="preserve">15,600 </w:t>
      </w:r>
      <w:r w:rsidRPr="00515CF0">
        <w:rPr>
          <w:rFonts w:asciiTheme="majorHAnsi" w:hAnsiTheme="majorHAnsi" w:cstheme="majorHAnsi"/>
        </w:rPr>
        <w:t>USD.</w:t>
      </w:r>
    </w:p>
    <w:p w14:paraId="51E678CB" w14:textId="77777777" w:rsidR="00707E9B" w:rsidRPr="00515CF0" w:rsidRDefault="00707E9B" w:rsidP="00F16257">
      <w:pPr>
        <w:jc w:val="both"/>
        <w:rPr>
          <w:rFonts w:asciiTheme="majorHAnsi" w:hAnsiTheme="majorHAnsi" w:cstheme="majorHAnsi"/>
        </w:rPr>
      </w:pPr>
    </w:p>
    <w:p w14:paraId="11B4D81E" w14:textId="24147CB4" w:rsidR="00707E9B" w:rsidRPr="00515CF0" w:rsidRDefault="007F794E" w:rsidP="00F16257">
      <w:pPr>
        <w:pStyle w:val="ListParagraph"/>
        <w:numPr>
          <w:ilvl w:val="0"/>
          <w:numId w:val="36"/>
        </w:numPr>
        <w:ind w:left="0"/>
        <w:jc w:val="both"/>
        <w:rPr>
          <w:rFonts w:asciiTheme="majorHAnsi" w:hAnsiTheme="majorHAnsi" w:cstheme="majorHAnsi"/>
          <w:sz w:val="24"/>
          <w:szCs w:val="24"/>
          <w:lang w:val="en-US"/>
        </w:rPr>
      </w:pPr>
      <w:r w:rsidRPr="00515CF0">
        <w:rPr>
          <w:rFonts w:asciiTheme="majorHAnsi" w:hAnsiTheme="majorHAnsi" w:cstheme="majorHAnsi"/>
          <w:b/>
          <w:sz w:val="24"/>
          <w:szCs w:val="24"/>
          <w:lang w:val="en-US"/>
        </w:rPr>
        <w:t xml:space="preserve">Akaki Zoidze, CIF - </w:t>
      </w:r>
      <w:r w:rsidR="00DB58A9" w:rsidRPr="00515CF0">
        <w:rPr>
          <w:rFonts w:asciiTheme="majorHAnsi" w:hAnsiTheme="majorHAnsi" w:cstheme="majorHAnsi"/>
          <w:b/>
          <w:sz w:val="24"/>
          <w:szCs w:val="24"/>
          <w:lang w:val="en-US"/>
        </w:rPr>
        <w:t>Principal Inve</w:t>
      </w:r>
      <w:r w:rsidR="00707E9B" w:rsidRPr="00515CF0">
        <w:rPr>
          <w:rFonts w:asciiTheme="majorHAnsi" w:hAnsiTheme="majorHAnsi" w:cstheme="majorHAnsi"/>
          <w:b/>
          <w:sz w:val="24"/>
          <w:szCs w:val="24"/>
          <w:lang w:val="en-US"/>
        </w:rPr>
        <w:t>stigator</w:t>
      </w:r>
      <w:r w:rsidR="00707E9B" w:rsidRPr="00515CF0">
        <w:rPr>
          <w:rFonts w:asciiTheme="majorHAnsi" w:hAnsiTheme="majorHAnsi" w:cstheme="majorHAnsi"/>
          <w:sz w:val="24"/>
          <w:szCs w:val="24"/>
          <w:lang w:val="en-US"/>
        </w:rPr>
        <w:t xml:space="preserve">. He will </w:t>
      </w:r>
      <w:r w:rsidR="001F2856" w:rsidRPr="00515CF0">
        <w:rPr>
          <w:rFonts w:asciiTheme="majorHAnsi" w:hAnsiTheme="majorHAnsi" w:cstheme="majorHAnsi"/>
          <w:sz w:val="24"/>
          <w:szCs w:val="24"/>
          <w:lang w:val="en-US"/>
        </w:rPr>
        <w:t xml:space="preserve">lead the research methodology and protocol development, synthesize the research findings and take responsibility </w:t>
      </w:r>
      <w:proofErr w:type="gramStart"/>
      <w:r w:rsidR="001F2856" w:rsidRPr="00515CF0">
        <w:rPr>
          <w:rFonts w:asciiTheme="majorHAnsi" w:hAnsiTheme="majorHAnsi" w:cstheme="majorHAnsi"/>
          <w:sz w:val="24"/>
          <w:szCs w:val="24"/>
          <w:lang w:val="en-US"/>
        </w:rPr>
        <w:t>for the production of</w:t>
      </w:r>
      <w:proofErr w:type="gramEnd"/>
      <w:r w:rsidR="001F2856" w:rsidRPr="00515CF0">
        <w:rPr>
          <w:rFonts w:asciiTheme="majorHAnsi" w:hAnsiTheme="majorHAnsi" w:cstheme="majorHAnsi"/>
          <w:sz w:val="24"/>
          <w:szCs w:val="24"/>
          <w:lang w:val="en-US"/>
        </w:rPr>
        <w:t xml:space="preserve"> the final report and publication. </w:t>
      </w:r>
      <w:r w:rsidR="00DB58A9" w:rsidRPr="00515CF0">
        <w:rPr>
          <w:rFonts w:asciiTheme="majorHAnsi" w:hAnsiTheme="majorHAnsi" w:cstheme="majorHAnsi"/>
          <w:sz w:val="24"/>
          <w:szCs w:val="24"/>
          <w:lang w:val="en-US"/>
        </w:rPr>
        <w:t xml:space="preserve">The estimated effort is </w:t>
      </w:r>
      <w:r w:rsidR="00102815">
        <w:rPr>
          <w:rFonts w:asciiTheme="majorHAnsi" w:hAnsiTheme="majorHAnsi" w:cstheme="majorHAnsi"/>
          <w:sz w:val="24"/>
          <w:szCs w:val="24"/>
          <w:lang w:val="en-US"/>
        </w:rPr>
        <w:t>18</w:t>
      </w:r>
      <w:r w:rsidR="00FB0C5D">
        <w:rPr>
          <w:rFonts w:asciiTheme="majorHAnsi" w:hAnsiTheme="majorHAnsi" w:cstheme="majorHAnsi"/>
          <w:sz w:val="24"/>
          <w:szCs w:val="24"/>
          <w:lang w:val="en-US"/>
        </w:rPr>
        <w:t xml:space="preserve"> days.</w:t>
      </w:r>
    </w:p>
    <w:p w14:paraId="61D3BE9A" w14:textId="21DB8EBC" w:rsidR="00707E9B" w:rsidRPr="00515CF0" w:rsidRDefault="00102815" w:rsidP="00F16257">
      <w:pPr>
        <w:pStyle w:val="ListParagraph"/>
        <w:numPr>
          <w:ilvl w:val="0"/>
          <w:numId w:val="36"/>
        </w:numPr>
        <w:ind w:left="0"/>
        <w:jc w:val="both"/>
        <w:rPr>
          <w:rFonts w:asciiTheme="majorHAnsi" w:hAnsiTheme="majorHAnsi" w:cstheme="majorHAnsi"/>
          <w:sz w:val="24"/>
          <w:szCs w:val="24"/>
          <w:lang w:val="en-US"/>
        </w:rPr>
      </w:pPr>
      <w:r>
        <w:rPr>
          <w:rFonts w:asciiTheme="majorHAnsi" w:hAnsiTheme="majorHAnsi" w:cstheme="majorHAnsi"/>
          <w:b/>
          <w:sz w:val="24"/>
          <w:szCs w:val="24"/>
          <w:lang w:val="en-US"/>
        </w:rPr>
        <w:lastRenderedPageBreak/>
        <w:t>Ketevan Goginashvili</w:t>
      </w:r>
      <w:r w:rsidR="00DB58A9" w:rsidRPr="00515CF0">
        <w:rPr>
          <w:rFonts w:asciiTheme="majorHAnsi" w:hAnsiTheme="majorHAnsi" w:cstheme="majorHAnsi"/>
          <w:b/>
          <w:sz w:val="24"/>
          <w:szCs w:val="24"/>
          <w:lang w:val="en-US"/>
        </w:rPr>
        <w:t>, Co-Investigator,</w:t>
      </w:r>
      <w:r>
        <w:rPr>
          <w:rFonts w:asciiTheme="majorHAnsi" w:hAnsiTheme="majorHAnsi" w:cstheme="majorHAnsi"/>
          <w:b/>
          <w:sz w:val="24"/>
          <w:szCs w:val="24"/>
          <w:lang w:val="en-US"/>
        </w:rPr>
        <w:t xml:space="preserve"> Policymaker</w:t>
      </w:r>
      <w:r w:rsidR="00707E9B" w:rsidRPr="00515CF0">
        <w:rPr>
          <w:rFonts w:asciiTheme="majorHAnsi" w:hAnsiTheme="majorHAnsi" w:cstheme="majorHAnsi"/>
          <w:sz w:val="24"/>
          <w:szCs w:val="24"/>
          <w:lang w:val="en-US"/>
        </w:rPr>
        <w:t xml:space="preserve">. </w:t>
      </w:r>
      <w:r w:rsidR="00DB58A9" w:rsidRPr="00515CF0">
        <w:rPr>
          <w:rFonts w:asciiTheme="majorHAnsi" w:hAnsiTheme="majorHAnsi" w:cstheme="majorHAnsi"/>
          <w:sz w:val="24"/>
          <w:szCs w:val="24"/>
          <w:lang w:val="en-US"/>
        </w:rPr>
        <w:t xml:space="preserve">She will contribute to the research protocol and methodology, </w:t>
      </w:r>
      <w:r>
        <w:rPr>
          <w:rFonts w:asciiTheme="majorHAnsi" w:hAnsiTheme="majorHAnsi" w:cstheme="majorHAnsi"/>
          <w:sz w:val="24"/>
          <w:szCs w:val="24"/>
          <w:lang w:val="en-US"/>
        </w:rPr>
        <w:t>participate in</w:t>
      </w:r>
      <w:r w:rsidR="00DB58A9" w:rsidRPr="00515CF0">
        <w:rPr>
          <w:rFonts w:asciiTheme="majorHAnsi" w:hAnsiTheme="majorHAnsi" w:cstheme="majorHAnsi"/>
          <w:sz w:val="24"/>
          <w:szCs w:val="24"/>
          <w:lang w:val="en-US"/>
        </w:rPr>
        <w:t xml:space="preserve"> the data collection, conduct in-depth interviews with key informants and stakeholders, </w:t>
      </w:r>
      <w:r>
        <w:rPr>
          <w:rFonts w:asciiTheme="majorHAnsi" w:hAnsiTheme="majorHAnsi" w:cstheme="majorHAnsi"/>
          <w:sz w:val="24"/>
          <w:szCs w:val="24"/>
          <w:lang w:val="en-US"/>
        </w:rPr>
        <w:t xml:space="preserve">participate in the data synthesis. </w:t>
      </w:r>
      <w:r w:rsidR="00DB58A9" w:rsidRPr="00515CF0">
        <w:rPr>
          <w:rFonts w:asciiTheme="majorHAnsi" w:hAnsiTheme="majorHAnsi" w:cstheme="majorHAnsi"/>
          <w:sz w:val="24"/>
          <w:szCs w:val="24"/>
          <w:lang w:val="en-US"/>
        </w:rPr>
        <w:t>The estimated</w:t>
      </w:r>
      <w:r w:rsidR="00707E9B" w:rsidRPr="00515CF0">
        <w:rPr>
          <w:rFonts w:asciiTheme="majorHAnsi" w:hAnsiTheme="majorHAnsi" w:cstheme="majorHAnsi"/>
          <w:sz w:val="24"/>
          <w:szCs w:val="24"/>
          <w:lang w:val="en-US"/>
        </w:rPr>
        <w:t xml:space="preserve"> </w:t>
      </w:r>
      <w:r w:rsidR="00DB58A9" w:rsidRPr="00515CF0">
        <w:rPr>
          <w:rFonts w:asciiTheme="majorHAnsi" w:hAnsiTheme="majorHAnsi" w:cstheme="majorHAnsi"/>
          <w:sz w:val="24"/>
          <w:szCs w:val="24"/>
          <w:lang w:val="en-US"/>
        </w:rPr>
        <w:t xml:space="preserve">effort is </w:t>
      </w:r>
      <w:r>
        <w:rPr>
          <w:rFonts w:asciiTheme="majorHAnsi" w:hAnsiTheme="majorHAnsi" w:cstheme="majorHAnsi"/>
          <w:sz w:val="24"/>
          <w:szCs w:val="24"/>
          <w:lang w:val="en-US"/>
        </w:rPr>
        <w:t>16 days</w:t>
      </w:r>
      <w:r w:rsidR="00707E9B" w:rsidRPr="00515CF0">
        <w:rPr>
          <w:rFonts w:asciiTheme="majorHAnsi" w:hAnsiTheme="majorHAnsi" w:cstheme="majorHAnsi"/>
          <w:sz w:val="24"/>
          <w:szCs w:val="24"/>
          <w:lang w:val="en-US"/>
        </w:rPr>
        <w:t>.</w:t>
      </w:r>
    </w:p>
    <w:p w14:paraId="6E994EDF" w14:textId="5713E56D" w:rsidR="00D653A4" w:rsidRPr="00515CF0" w:rsidRDefault="00A05DA0" w:rsidP="00F16257">
      <w:pPr>
        <w:pStyle w:val="ListParagraph"/>
        <w:numPr>
          <w:ilvl w:val="0"/>
          <w:numId w:val="36"/>
        </w:numPr>
        <w:ind w:left="0"/>
        <w:jc w:val="both"/>
        <w:rPr>
          <w:rFonts w:asciiTheme="majorHAnsi" w:hAnsiTheme="majorHAnsi" w:cstheme="majorHAnsi"/>
          <w:sz w:val="24"/>
          <w:szCs w:val="24"/>
          <w:lang w:val="en-US"/>
        </w:rPr>
      </w:pPr>
      <w:r w:rsidRPr="00515CF0">
        <w:rPr>
          <w:rFonts w:asciiTheme="majorHAnsi" w:hAnsiTheme="majorHAnsi" w:cstheme="majorHAnsi"/>
          <w:b/>
          <w:sz w:val="24"/>
          <w:szCs w:val="24"/>
          <w:lang w:val="en-US"/>
        </w:rPr>
        <w:t>Researcher Assistant</w:t>
      </w:r>
      <w:r w:rsidRPr="00515CF0">
        <w:rPr>
          <w:rFonts w:asciiTheme="majorHAnsi" w:hAnsiTheme="majorHAnsi" w:cstheme="majorHAnsi"/>
          <w:sz w:val="24"/>
          <w:szCs w:val="24"/>
          <w:lang w:val="en-US"/>
        </w:rPr>
        <w:t xml:space="preserve">, </w:t>
      </w:r>
      <w:r w:rsidR="00102815">
        <w:rPr>
          <w:rFonts w:asciiTheme="majorHAnsi" w:hAnsiTheme="majorHAnsi" w:cstheme="majorHAnsi"/>
          <w:b/>
          <w:sz w:val="24"/>
          <w:szCs w:val="24"/>
          <w:lang w:val="en-US"/>
        </w:rPr>
        <w:t>TBD</w:t>
      </w:r>
      <w:r w:rsidRPr="00515CF0">
        <w:rPr>
          <w:rFonts w:asciiTheme="majorHAnsi" w:hAnsiTheme="majorHAnsi" w:cstheme="majorHAnsi"/>
          <w:sz w:val="24"/>
          <w:szCs w:val="24"/>
          <w:lang w:val="en-US"/>
        </w:rPr>
        <w:t xml:space="preserve">. </w:t>
      </w:r>
      <w:r w:rsidR="001A7CDB" w:rsidRPr="00515CF0">
        <w:rPr>
          <w:rFonts w:asciiTheme="majorHAnsi" w:hAnsiTheme="majorHAnsi" w:cstheme="majorHAnsi"/>
          <w:sz w:val="24"/>
          <w:szCs w:val="24"/>
          <w:lang w:val="en-US"/>
        </w:rPr>
        <w:t xml:space="preserve">Will </w:t>
      </w:r>
      <w:r w:rsidR="00FB0C5D">
        <w:rPr>
          <w:rFonts w:asciiTheme="majorHAnsi" w:hAnsiTheme="majorHAnsi" w:cstheme="majorHAnsi"/>
          <w:sz w:val="24"/>
          <w:szCs w:val="24"/>
          <w:lang w:val="en-US"/>
        </w:rPr>
        <w:t>assist in data collection and document review. T</w:t>
      </w:r>
      <w:r w:rsidR="001A7CDB" w:rsidRPr="00515CF0">
        <w:rPr>
          <w:rFonts w:asciiTheme="majorHAnsi" w:hAnsiTheme="majorHAnsi" w:cstheme="majorHAnsi"/>
          <w:sz w:val="24"/>
          <w:szCs w:val="24"/>
          <w:lang w:val="en-US"/>
        </w:rPr>
        <w:t>ake notes during</w:t>
      </w:r>
      <w:r w:rsidRPr="00515CF0">
        <w:rPr>
          <w:rFonts w:asciiTheme="majorHAnsi" w:hAnsiTheme="majorHAnsi" w:cstheme="majorHAnsi"/>
          <w:sz w:val="24"/>
          <w:szCs w:val="24"/>
          <w:lang w:val="en-US"/>
        </w:rPr>
        <w:t xml:space="preserve"> </w:t>
      </w:r>
      <w:r w:rsidR="00FB0C5D">
        <w:rPr>
          <w:rFonts w:asciiTheme="majorHAnsi" w:hAnsiTheme="majorHAnsi" w:cstheme="majorHAnsi"/>
          <w:sz w:val="24"/>
          <w:szCs w:val="24"/>
          <w:lang w:val="en-US"/>
        </w:rPr>
        <w:t>KIIs</w:t>
      </w:r>
      <w:r w:rsidR="001A7CDB" w:rsidRPr="00515CF0">
        <w:rPr>
          <w:rFonts w:asciiTheme="majorHAnsi" w:hAnsiTheme="majorHAnsi" w:cstheme="majorHAnsi"/>
          <w:sz w:val="24"/>
          <w:szCs w:val="24"/>
          <w:lang w:val="en-US"/>
        </w:rPr>
        <w:t xml:space="preserve"> and transcribe the date.</w:t>
      </w:r>
      <w:r w:rsidRPr="00515CF0">
        <w:rPr>
          <w:rFonts w:asciiTheme="majorHAnsi" w:hAnsiTheme="majorHAnsi" w:cstheme="majorHAnsi"/>
          <w:sz w:val="24"/>
          <w:szCs w:val="24"/>
          <w:lang w:val="en-US"/>
        </w:rPr>
        <w:t xml:space="preserve"> The estimated effort is </w:t>
      </w:r>
      <w:r w:rsidR="00FB0C5D">
        <w:rPr>
          <w:rFonts w:asciiTheme="majorHAnsi" w:hAnsiTheme="majorHAnsi" w:cstheme="majorHAnsi"/>
          <w:sz w:val="24"/>
          <w:szCs w:val="24"/>
          <w:lang w:val="en-US"/>
        </w:rPr>
        <w:t>35 days</w:t>
      </w:r>
    </w:p>
    <w:p w14:paraId="7F579B1E" w14:textId="398B7B10" w:rsidR="00D653A4" w:rsidRPr="00C8210D" w:rsidRDefault="00D653A4" w:rsidP="00C8210D">
      <w:pPr>
        <w:ind w:left="-360" w:firstLine="360"/>
        <w:jc w:val="both"/>
        <w:rPr>
          <w:rFonts w:asciiTheme="majorHAnsi" w:hAnsiTheme="majorHAnsi" w:cstheme="majorHAnsi"/>
          <w:u w:val="single"/>
        </w:rPr>
      </w:pPr>
      <w:r w:rsidRPr="00515CF0">
        <w:rPr>
          <w:rFonts w:asciiTheme="majorHAnsi" w:hAnsiTheme="majorHAnsi" w:cstheme="majorHAnsi"/>
          <w:u w:val="single"/>
        </w:rPr>
        <w:t>Other Direct Costs</w:t>
      </w:r>
    </w:p>
    <w:p w14:paraId="58BC0457" w14:textId="64A3ABE9" w:rsidR="00EB7A0B" w:rsidRPr="00515CF0" w:rsidRDefault="000E4565" w:rsidP="00F16257">
      <w:pPr>
        <w:pStyle w:val="ListParagraph"/>
        <w:numPr>
          <w:ilvl w:val="0"/>
          <w:numId w:val="36"/>
        </w:numPr>
        <w:ind w:left="0"/>
        <w:jc w:val="both"/>
        <w:rPr>
          <w:rFonts w:asciiTheme="majorHAnsi" w:hAnsiTheme="majorHAnsi" w:cstheme="majorHAnsi"/>
          <w:sz w:val="24"/>
          <w:szCs w:val="24"/>
          <w:lang w:val="en-US"/>
        </w:rPr>
      </w:pPr>
      <w:r w:rsidRPr="00515CF0">
        <w:rPr>
          <w:rFonts w:asciiTheme="majorHAnsi" w:hAnsiTheme="majorHAnsi" w:cstheme="majorHAnsi"/>
          <w:b/>
          <w:sz w:val="24"/>
          <w:szCs w:val="24"/>
          <w:lang w:val="en-US"/>
        </w:rPr>
        <w:t>National Dissemination Workshop</w:t>
      </w:r>
      <w:r w:rsidRPr="00515CF0">
        <w:rPr>
          <w:rFonts w:asciiTheme="majorHAnsi" w:hAnsiTheme="majorHAnsi" w:cstheme="majorHAnsi"/>
          <w:sz w:val="24"/>
          <w:szCs w:val="24"/>
          <w:lang w:val="en-US"/>
        </w:rPr>
        <w:t xml:space="preserve">. </w:t>
      </w:r>
      <w:r w:rsidR="00EB7A0B" w:rsidRPr="00515CF0">
        <w:rPr>
          <w:rFonts w:asciiTheme="majorHAnsi" w:hAnsiTheme="majorHAnsi" w:cstheme="majorHAnsi"/>
          <w:sz w:val="24"/>
          <w:szCs w:val="24"/>
          <w:lang w:val="en-US"/>
        </w:rPr>
        <w:t xml:space="preserve"> </w:t>
      </w:r>
      <w:r w:rsidR="008A7F26" w:rsidRPr="00515CF0">
        <w:rPr>
          <w:rFonts w:asciiTheme="majorHAnsi" w:hAnsiTheme="majorHAnsi" w:cstheme="majorHAnsi"/>
          <w:sz w:val="24"/>
          <w:szCs w:val="24"/>
          <w:lang w:val="en-US"/>
        </w:rPr>
        <w:t xml:space="preserve">The estimated cost is </w:t>
      </w:r>
      <w:r w:rsidR="00102815">
        <w:rPr>
          <w:rFonts w:asciiTheme="majorHAnsi" w:hAnsiTheme="majorHAnsi" w:cstheme="majorHAnsi"/>
          <w:sz w:val="24"/>
          <w:szCs w:val="24"/>
          <w:lang w:val="en-US"/>
        </w:rPr>
        <w:t>1</w:t>
      </w:r>
      <w:r w:rsidR="008A7F26" w:rsidRPr="00515CF0">
        <w:rPr>
          <w:rFonts w:asciiTheme="majorHAnsi" w:hAnsiTheme="majorHAnsi" w:cstheme="majorHAnsi"/>
          <w:sz w:val="24"/>
          <w:szCs w:val="24"/>
          <w:lang w:val="en-US"/>
        </w:rPr>
        <w:t xml:space="preserve">,000 USD </w:t>
      </w:r>
      <w:r w:rsidR="00893F7A" w:rsidRPr="00515CF0">
        <w:rPr>
          <w:rFonts w:asciiTheme="majorHAnsi" w:hAnsiTheme="majorHAnsi" w:cstheme="majorHAnsi"/>
          <w:sz w:val="24"/>
          <w:szCs w:val="24"/>
          <w:lang w:val="en-US"/>
        </w:rPr>
        <w:t>(renting the facility and equipment, printing of materials, refreshments, coffee br</w:t>
      </w:r>
      <w:r w:rsidR="00866BBE" w:rsidRPr="00515CF0">
        <w:rPr>
          <w:rFonts w:asciiTheme="majorHAnsi" w:hAnsiTheme="majorHAnsi" w:cstheme="majorHAnsi"/>
          <w:sz w:val="24"/>
          <w:szCs w:val="24"/>
          <w:lang w:val="en-US"/>
        </w:rPr>
        <w:t>e</w:t>
      </w:r>
      <w:r w:rsidR="00893F7A" w:rsidRPr="00515CF0">
        <w:rPr>
          <w:rFonts w:asciiTheme="majorHAnsi" w:hAnsiTheme="majorHAnsi" w:cstheme="majorHAnsi"/>
          <w:sz w:val="24"/>
          <w:szCs w:val="24"/>
          <w:lang w:val="en-US"/>
        </w:rPr>
        <w:t>ak etc.).</w:t>
      </w:r>
    </w:p>
    <w:p w14:paraId="08580BBF" w14:textId="77777777" w:rsidR="00707E9B" w:rsidRPr="00515CF0" w:rsidRDefault="00707E9B" w:rsidP="00F16257">
      <w:pPr>
        <w:pStyle w:val="Heading2"/>
        <w:jc w:val="both"/>
        <w:rPr>
          <w:rFonts w:asciiTheme="majorHAnsi" w:hAnsiTheme="majorHAnsi" w:cstheme="majorHAnsi"/>
          <w:b w:val="0"/>
          <w:i w:val="0"/>
          <w:sz w:val="24"/>
          <w:szCs w:val="24"/>
          <w:u w:val="single"/>
        </w:rPr>
      </w:pPr>
      <w:r w:rsidRPr="00515CF0">
        <w:rPr>
          <w:rFonts w:asciiTheme="majorHAnsi" w:hAnsiTheme="majorHAnsi" w:cstheme="majorHAnsi"/>
          <w:b w:val="0"/>
          <w:i w:val="0"/>
          <w:sz w:val="24"/>
          <w:szCs w:val="24"/>
          <w:u w:val="single"/>
        </w:rPr>
        <w:t>Indirect cost Rate:</w:t>
      </w:r>
    </w:p>
    <w:p w14:paraId="34C740C8" w14:textId="1041B168" w:rsidR="00707E9B" w:rsidRPr="00515CF0" w:rsidRDefault="00707E9B" w:rsidP="00F16257">
      <w:pPr>
        <w:jc w:val="both"/>
        <w:rPr>
          <w:rFonts w:asciiTheme="majorHAnsi" w:hAnsiTheme="majorHAnsi" w:cstheme="majorHAnsi"/>
        </w:rPr>
      </w:pPr>
      <w:r w:rsidRPr="00515CF0">
        <w:rPr>
          <w:rFonts w:asciiTheme="majorHAnsi" w:hAnsiTheme="majorHAnsi" w:cstheme="majorHAnsi"/>
        </w:rPr>
        <w:t>Total</w:t>
      </w:r>
      <w:r w:rsidR="00A05DA0" w:rsidRPr="00515CF0">
        <w:rPr>
          <w:rFonts w:asciiTheme="majorHAnsi" w:hAnsiTheme="majorHAnsi" w:cstheme="majorHAnsi"/>
        </w:rPr>
        <w:t xml:space="preserve"> Indirect cost is estimated at 9,017</w:t>
      </w:r>
      <w:r w:rsidRPr="00515CF0">
        <w:rPr>
          <w:rFonts w:asciiTheme="majorHAnsi" w:hAnsiTheme="majorHAnsi" w:cstheme="majorHAnsi"/>
        </w:rPr>
        <w:t>.4USD</w:t>
      </w:r>
      <w:r w:rsidR="006F5487" w:rsidRPr="00515CF0">
        <w:rPr>
          <w:rFonts w:asciiTheme="majorHAnsi" w:hAnsiTheme="majorHAnsi" w:cstheme="majorHAnsi"/>
        </w:rPr>
        <w:t>, or 13</w:t>
      </w:r>
      <w:r w:rsidR="003E2E7A" w:rsidRPr="00515CF0">
        <w:rPr>
          <w:rFonts w:asciiTheme="majorHAnsi" w:hAnsiTheme="majorHAnsi" w:cstheme="majorHAnsi"/>
        </w:rPr>
        <w:t>% of the direct costs</w:t>
      </w:r>
      <w:r w:rsidRPr="00515CF0">
        <w:rPr>
          <w:rFonts w:asciiTheme="majorHAnsi" w:hAnsiTheme="majorHAnsi" w:cstheme="majorHAnsi"/>
        </w:rPr>
        <w:t>.</w:t>
      </w:r>
    </w:p>
    <w:p w14:paraId="1BF0AD53" w14:textId="77777777" w:rsidR="00B1401B" w:rsidRPr="00515CF0" w:rsidRDefault="001C6EE0" w:rsidP="00F16257">
      <w:pPr>
        <w:pStyle w:val="Heading1"/>
        <w:jc w:val="both"/>
        <w:rPr>
          <w:rFonts w:asciiTheme="majorHAnsi" w:hAnsiTheme="majorHAnsi" w:cstheme="majorHAnsi"/>
        </w:rPr>
      </w:pPr>
      <w:r w:rsidRPr="00515CF0">
        <w:rPr>
          <w:rFonts w:asciiTheme="majorHAnsi" w:hAnsiTheme="majorHAnsi" w:cstheme="majorHAnsi"/>
        </w:rPr>
        <w:t xml:space="preserve">7. </w:t>
      </w:r>
      <w:r w:rsidR="00EC18E4" w:rsidRPr="00515CF0">
        <w:rPr>
          <w:rFonts w:asciiTheme="majorHAnsi" w:hAnsiTheme="majorHAnsi" w:cstheme="majorHAnsi"/>
        </w:rPr>
        <w:t>Ethical considerations</w:t>
      </w:r>
    </w:p>
    <w:p w14:paraId="60237402" w14:textId="1F9BC88A" w:rsidR="00EC18E4" w:rsidRPr="00515CF0" w:rsidRDefault="00EC18E4" w:rsidP="00990DB6">
      <w:pPr>
        <w:widowControl w:val="0"/>
        <w:spacing w:before="180"/>
        <w:jc w:val="both"/>
        <w:rPr>
          <w:rFonts w:asciiTheme="majorHAnsi" w:hAnsiTheme="majorHAnsi" w:cstheme="majorHAnsi"/>
        </w:rPr>
      </w:pPr>
      <w:r w:rsidRPr="00515CF0">
        <w:rPr>
          <w:rFonts w:asciiTheme="majorHAnsi" w:hAnsiTheme="majorHAnsi" w:cstheme="majorHAnsi"/>
        </w:rPr>
        <w:t xml:space="preserve">The research team plans to adhere to ethical guidelines commonly used in the policy research that mainly employs the qualitative methods, which will include prior to </w:t>
      </w:r>
      <w:r w:rsidR="006D7CBD">
        <w:rPr>
          <w:rFonts w:asciiTheme="majorHAnsi" w:hAnsiTheme="majorHAnsi" w:cstheme="majorHAnsi"/>
        </w:rPr>
        <w:t xml:space="preserve">the </w:t>
      </w:r>
      <w:r w:rsidRPr="00515CF0">
        <w:rPr>
          <w:rFonts w:asciiTheme="majorHAnsi" w:hAnsiTheme="majorHAnsi" w:cstheme="majorHAnsi"/>
        </w:rPr>
        <w:t>interview, the explanation of the purpose of the to study participants within the broader context of the research study. The participants will be fully informed about the study objectives and the anticipated risks and benefits to the individual participant and the community, and organizations involved in the study will be clearly identified. The participants will also be informed what is expected of a research participant, including the amount of time likely to be required for participation, about the fact that participation is voluntary and that one can withdraw at any time with no negative repercussions; on how confidentiality will be protected, and the name and contact information (including a toll</w:t>
      </w:r>
      <w:r w:rsidR="006D7CBD">
        <w:rPr>
          <w:rFonts w:asciiTheme="majorHAnsi" w:hAnsiTheme="majorHAnsi" w:cstheme="majorHAnsi"/>
        </w:rPr>
        <w:t>-</w:t>
      </w:r>
      <w:r w:rsidRPr="00515CF0">
        <w:rPr>
          <w:rFonts w:asciiTheme="majorHAnsi" w:hAnsiTheme="majorHAnsi" w:cstheme="majorHAnsi"/>
        </w:rPr>
        <w:t>free phone number) for the research team and of an appropriate person to contact with questions about one’s rights as a research participant (representative of th</w:t>
      </w:r>
      <w:r w:rsidR="00FE5316">
        <w:rPr>
          <w:rFonts w:asciiTheme="majorHAnsi" w:hAnsiTheme="majorHAnsi" w:cstheme="majorHAnsi"/>
        </w:rPr>
        <w:t>e CIF</w:t>
      </w:r>
      <w:r w:rsidRPr="00515CF0">
        <w:rPr>
          <w:rFonts w:asciiTheme="majorHAnsi" w:hAnsiTheme="majorHAnsi" w:cstheme="majorHAnsi"/>
        </w:rPr>
        <w:t>).</w:t>
      </w:r>
      <w:r w:rsidR="008C53AD" w:rsidRPr="00515CF0">
        <w:rPr>
          <w:rFonts w:asciiTheme="majorHAnsi" w:hAnsiTheme="majorHAnsi" w:cstheme="majorHAnsi"/>
        </w:rPr>
        <w:t xml:space="preserve"> The information sheet on the research will be provided and only the verbal consent will be obtained from the policymakers and </w:t>
      </w:r>
      <w:r w:rsidR="00170CEB">
        <w:rPr>
          <w:rFonts w:asciiTheme="majorHAnsi" w:hAnsiTheme="majorHAnsi" w:cstheme="majorHAnsi"/>
        </w:rPr>
        <w:t>other stakeholders</w:t>
      </w:r>
      <w:r w:rsidR="008C53AD" w:rsidRPr="00515CF0">
        <w:rPr>
          <w:rFonts w:asciiTheme="majorHAnsi" w:hAnsiTheme="majorHAnsi" w:cstheme="majorHAnsi"/>
        </w:rPr>
        <w:t xml:space="preserve"> who will be responding in their professional capacity. A researcher conducting the interview will register the verbal consent in the respective form</w:t>
      </w:r>
      <w:r w:rsidR="00170CEB">
        <w:rPr>
          <w:rFonts w:asciiTheme="majorHAnsi" w:hAnsiTheme="majorHAnsi" w:cstheme="majorHAnsi"/>
        </w:rPr>
        <w:t>.</w:t>
      </w:r>
      <w:r w:rsidR="00990DB6">
        <w:rPr>
          <w:rFonts w:asciiTheme="majorHAnsi" w:hAnsiTheme="majorHAnsi" w:cstheme="majorHAnsi"/>
        </w:rPr>
        <w:t xml:space="preserve"> </w:t>
      </w:r>
      <w:r w:rsidR="001C6EE0" w:rsidRPr="00515CF0">
        <w:rPr>
          <w:rFonts w:asciiTheme="majorHAnsi" w:hAnsiTheme="majorHAnsi" w:cstheme="majorHAnsi"/>
        </w:rPr>
        <w:t xml:space="preserve">To </w:t>
      </w:r>
      <w:r w:rsidR="008A75AC">
        <w:rPr>
          <w:rFonts w:asciiTheme="majorHAnsi" w:hAnsiTheme="majorHAnsi" w:cstheme="majorHAnsi"/>
        </w:rPr>
        <w:t>e</w:t>
      </w:r>
      <w:r w:rsidR="001C6EE0" w:rsidRPr="00515CF0">
        <w:rPr>
          <w:rFonts w:asciiTheme="majorHAnsi" w:hAnsiTheme="majorHAnsi" w:cstheme="majorHAnsi"/>
        </w:rPr>
        <w:t>nsure confidentiality</w:t>
      </w:r>
      <w:r w:rsidR="006D7CBD">
        <w:rPr>
          <w:rFonts w:asciiTheme="majorHAnsi" w:hAnsiTheme="majorHAnsi" w:cstheme="majorHAnsi"/>
        </w:rPr>
        <w:t>,</w:t>
      </w:r>
      <w:r w:rsidR="001C6EE0" w:rsidRPr="00515CF0">
        <w:rPr>
          <w:rFonts w:asciiTheme="majorHAnsi" w:hAnsiTheme="majorHAnsi" w:cstheme="majorHAnsi"/>
        </w:rPr>
        <w:t xml:space="preserve"> the data obtained from in</w:t>
      </w:r>
      <w:r w:rsidR="006D7CBD">
        <w:rPr>
          <w:rFonts w:asciiTheme="majorHAnsi" w:hAnsiTheme="majorHAnsi" w:cstheme="majorHAnsi"/>
        </w:rPr>
        <w:t>-</w:t>
      </w:r>
      <w:r w:rsidR="001C6EE0" w:rsidRPr="00515CF0">
        <w:rPr>
          <w:rFonts w:asciiTheme="majorHAnsi" w:hAnsiTheme="majorHAnsi" w:cstheme="majorHAnsi"/>
        </w:rPr>
        <w:t>depth interviews will be stored in a secure place. The names of the research participants will not be recorded and disclosed, in case if certain statements will be quoted in the study report or other publications emerging from the study, only the category of the respondent will be disclosed. As noted above, in the section of methodology</w:t>
      </w:r>
      <w:r w:rsidR="006D7CBD">
        <w:rPr>
          <w:rFonts w:asciiTheme="majorHAnsi" w:hAnsiTheme="majorHAnsi" w:cstheme="majorHAnsi"/>
        </w:rPr>
        <w:t>,</w:t>
      </w:r>
      <w:r w:rsidR="001C6EE0" w:rsidRPr="00515CF0">
        <w:rPr>
          <w:rFonts w:asciiTheme="majorHAnsi" w:hAnsiTheme="majorHAnsi" w:cstheme="majorHAnsi"/>
        </w:rPr>
        <w:t xml:space="preserve"> the information recorded will be kept confidential, and no one else except the country research team will have access to the information documented during the discussion. The transcripts translated in English without any identifiers will also be shared with CIF co-investigator and researcher included in the research team and the representatives of the technical advisors and the </w:t>
      </w:r>
      <w:r w:rsidR="008030B4">
        <w:rPr>
          <w:rFonts w:asciiTheme="majorHAnsi" w:hAnsiTheme="majorHAnsi" w:cstheme="majorHAnsi"/>
        </w:rPr>
        <w:t>f</w:t>
      </w:r>
      <w:r w:rsidR="001C6EE0" w:rsidRPr="00515CF0">
        <w:rPr>
          <w:rFonts w:asciiTheme="majorHAnsi" w:hAnsiTheme="majorHAnsi" w:cstheme="majorHAnsi"/>
        </w:rPr>
        <w:t xml:space="preserve">unding </w:t>
      </w:r>
      <w:r w:rsidR="008030B4">
        <w:rPr>
          <w:rFonts w:asciiTheme="majorHAnsi" w:hAnsiTheme="majorHAnsi" w:cstheme="majorHAnsi"/>
        </w:rPr>
        <w:t>i</w:t>
      </w:r>
      <w:r w:rsidR="001C6EE0" w:rsidRPr="00515CF0">
        <w:rPr>
          <w:rFonts w:asciiTheme="majorHAnsi" w:hAnsiTheme="majorHAnsi" w:cstheme="majorHAnsi"/>
        </w:rPr>
        <w:t xml:space="preserve">nstitution (Alliance for Health Systems Research). </w:t>
      </w:r>
      <w:r w:rsidR="005A4C70" w:rsidRPr="00515CF0">
        <w:rPr>
          <w:rFonts w:asciiTheme="majorHAnsi" w:hAnsiTheme="majorHAnsi" w:cstheme="majorHAnsi"/>
        </w:rPr>
        <w:t xml:space="preserve">The audio-recordings will be password protected and kept in the office computers for transcription purposes. The audio-recordings will be destroyed after transcription of interviews and focus group discussions. </w:t>
      </w:r>
    </w:p>
    <w:p w14:paraId="185D7EF6" w14:textId="3DDDA764" w:rsidR="00EC18E4" w:rsidRPr="00515CF0" w:rsidRDefault="001C6EE0" w:rsidP="00C8210D">
      <w:pPr>
        <w:pStyle w:val="Heading1"/>
        <w:jc w:val="both"/>
        <w:rPr>
          <w:rFonts w:asciiTheme="majorHAnsi" w:hAnsiTheme="majorHAnsi" w:cstheme="majorHAnsi"/>
        </w:rPr>
      </w:pPr>
      <w:r w:rsidRPr="00515CF0">
        <w:rPr>
          <w:rFonts w:asciiTheme="majorHAnsi" w:hAnsiTheme="majorHAnsi" w:cstheme="majorHAnsi"/>
        </w:rPr>
        <w:t xml:space="preserve">8. </w:t>
      </w:r>
      <w:r w:rsidR="00EC18E4" w:rsidRPr="00515CF0">
        <w:rPr>
          <w:rFonts w:asciiTheme="majorHAnsi" w:hAnsiTheme="majorHAnsi" w:cstheme="majorHAnsi"/>
        </w:rPr>
        <w:t>Challenges and Risks</w:t>
      </w:r>
    </w:p>
    <w:p w14:paraId="022A4091" w14:textId="753868C7" w:rsidR="001C6EE0" w:rsidRPr="00C8210D" w:rsidRDefault="001C6EE0" w:rsidP="00F16257">
      <w:pPr>
        <w:jc w:val="both"/>
        <w:rPr>
          <w:rFonts w:asciiTheme="majorHAnsi" w:hAnsiTheme="majorHAnsi" w:cstheme="majorHAnsi"/>
          <w:b/>
          <w:sz w:val="26"/>
        </w:rPr>
      </w:pPr>
      <w:r w:rsidRPr="00515CF0">
        <w:rPr>
          <w:rFonts w:asciiTheme="majorHAnsi" w:hAnsiTheme="majorHAnsi" w:cstheme="majorHAnsi"/>
          <w:b/>
          <w:sz w:val="26"/>
        </w:rPr>
        <w:t>Anticipated Challenges and limitations</w:t>
      </w:r>
    </w:p>
    <w:p w14:paraId="3E52E472" w14:textId="33A5F2B1" w:rsidR="00EC18E4" w:rsidRPr="00515CF0" w:rsidRDefault="00EC18E4" w:rsidP="00F16257">
      <w:pPr>
        <w:jc w:val="both"/>
        <w:rPr>
          <w:rFonts w:asciiTheme="majorHAnsi" w:hAnsiTheme="majorHAnsi" w:cstheme="majorHAnsi"/>
        </w:rPr>
      </w:pPr>
      <w:r w:rsidRPr="00515CF0">
        <w:rPr>
          <w:rFonts w:asciiTheme="majorHAnsi" w:hAnsiTheme="majorHAnsi" w:cstheme="majorHAnsi"/>
        </w:rPr>
        <w:t>The research team will apply maximum effort towards thorough and rigorous data collection and analysis process. However, certain study shortcomings and limitations are anticipated. Firstly, access to high</w:t>
      </w:r>
      <w:r w:rsidR="006D7CBD">
        <w:rPr>
          <w:rFonts w:asciiTheme="majorHAnsi" w:hAnsiTheme="majorHAnsi" w:cstheme="majorHAnsi"/>
        </w:rPr>
        <w:t>-</w:t>
      </w:r>
      <w:r w:rsidRPr="00515CF0">
        <w:rPr>
          <w:rFonts w:asciiTheme="majorHAnsi" w:hAnsiTheme="majorHAnsi" w:cstheme="majorHAnsi"/>
        </w:rPr>
        <w:t xml:space="preserve">level policymakers, politicians and civil servants playing </w:t>
      </w:r>
      <w:r w:rsidR="006D7CBD">
        <w:rPr>
          <w:rFonts w:asciiTheme="majorHAnsi" w:hAnsiTheme="majorHAnsi" w:cstheme="majorHAnsi"/>
        </w:rPr>
        <w:t xml:space="preserve">a </w:t>
      </w:r>
      <w:r w:rsidRPr="00515CF0">
        <w:rPr>
          <w:rFonts w:asciiTheme="majorHAnsi" w:hAnsiTheme="majorHAnsi" w:cstheme="majorHAnsi"/>
        </w:rPr>
        <w:t xml:space="preserve">key role in the design and implementation of the policy at focus may be constrained or significantly limited in time for obtaining comprehensive information required. To mitigate this possible limitation, the researchers will seek </w:t>
      </w:r>
      <w:r w:rsidRPr="00515CF0">
        <w:rPr>
          <w:rFonts w:asciiTheme="majorHAnsi" w:hAnsiTheme="majorHAnsi" w:cstheme="majorHAnsi"/>
        </w:rPr>
        <w:lastRenderedPageBreak/>
        <w:t xml:space="preserve">evidence on their positions through the media analysis, available minutes of important agenda setting and policy formulation governmental meetings, etc. </w:t>
      </w:r>
    </w:p>
    <w:p w14:paraId="25C2104D" w14:textId="77777777" w:rsidR="001C6EE0" w:rsidRPr="00515CF0" w:rsidRDefault="001C6EE0" w:rsidP="00F16257">
      <w:pPr>
        <w:widowControl w:val="0"/>
        <w:spacing w:before="180"/>
        <w:jc w:val="both"/>
        <w:rPr>
          <w:rFonts w:asciiTheme="majorHAnsi" w:hAnsiTheme="majorHAnsi" w:cstheme="majorHAnsi"/>
          <w:b/>
          <w:sz w:val="26"/>
        </w:rPr>
      </w:pPr>
      <w:r w:rsidRPr="00515CF0">
        <w:rPr>
          <w:rFonts w:asciiTheme="majorHAnsi" w:hAnsiTheme="majorHAnsi" w:cstheme="majorHAnsi"/>
          <w:b/>
          <w:sz w:val="26"/>
        </w:rPr>
        <w:t>Risks and Benefits for participants</w:t>
      </w:r>
    </w:p>
    <w:p w14:paraId="6B561656" w14:textId="2A946C0C" w:rsidR="001C6EE0" w:rsidRDefault="001C6EE0" w:rsidP="00F16257">
      <w:pPr>
        <w:widowControl w:val="0"/>
        <w:spacing w:before="180"/>
        <w:jc w:val="both"/>
        <w:rPr>
          <w:rFonts w:asciiTheme="majorHAnsi" w:hAnsiTheme="majorHAnsi" w:cstheme="majorHAnsi"/>
        </w:rPr>
      </w:pPr>
      <w:r w:rsidRPr="00515CF0">
        <w:rPr>
          <w:rFonts w:asciiTheme="majorHAnsi" w:hAnsiTheme="majorHAnsi" w:cstheme="majorHAnsi"/>
        </w:rPr>
        <w:t xml:space="preserve">The nature of the proposed case study limits the potential risks to </w:t>
      </w:r>
      <w:r w:rsidR="006D7CBD">
        <w:rPr>
          <w:rFonts w:asciiTheme="majorHAnsi" w:hAnsiTheme="majorHAnsi" w:cstheme="majorHAnsi"/>
        </w:rPr>
        <w:t xml:space="preserve">the </w:t>
      </w:r>
      <w:r w:rsidRPr="00515CF0">
        <w:rPr>
          <w:rFonts w:asciiTheme="majorHAnsi" w:hAnsiTheme="majorHAnsi" w:cstheme="majorHAnsi"/>
        </w:rPr>
        <w:t>safety of research participants. It is unlikely that intervie</w:t>
      </w:r>
      <w:r w:rsidR="00370AA2">
        <w:rPr>
          <w:rFonts w:asciiTheme="majorHAnsi" w:hAnsiTheme="majorHAnsi" w:cstheme="majorHAnsi"/>
        </w:rPr>
        <w:t>wee</w:t>
      </w:r>
      <w:r w:rsidRPr="00515CF0">
        <w:rPr>
          <w:rFonts w:asciiTheme="majorHAnsi" w:hAnsiTheme="majorHAnsi" w:cstheme="majorHAnsi"/>
        </w:rPr>
        <w:t xml:space="preserve">s will be subjected to any violence or persecution due to their opinions or views expressed. A theoretical risk of administrative sanctions or criminal persecution may be related </w:t>
      </w:r>
      <w:bookmarkStart w:id="0" w:name="_GoBack"/>
      <w:bookmarkEnd w:id="0"/>
      <w:r w:rsidR="006D7CBD">
        <w:rPr>
          <w:rFonts w:asciiTheme="majorHAnsi" w:hAnsiTheme="majorHAnsi" w:cstheme="majorHAnsi"/>
        </w:rPr>
        <w:t>to</w:t>
      </w:r>
      <w:r w:rsidRPr="00515CF0">
        <w:rPr>
          <w:rFonts w:asciiTheme="majorHAnsi" w:hAnsiTheme="majorHAnsi" w:cstheme="majorHAnsi"/>
        </w:rPr>
        <w:t xml:space="preserve"> potential disclosure of information</w:t>
      </w:r>
      <w:r w:rsidR="00990DB6">
        <w:rPr>
          <w:rFonts w:asciiTheme="majorHAnsi" w:hAnsiTheme="majorHAnsi" w:cstheme="majorHAnsi"/>
        </w:rPr>
        <w:t xml:space="preserve">. </w:t>
      </w:r>
      <w:r w:rsidRPr="00515CF0">
        <w:rPr>
          <w:rFonts w:asciiTheme="majorHAnsi" w:hAnsiTheme="majorHAnsi" w:cstheme="majorHAnsi"/>
        </w:rPr>
        <w:t xml:space="preserve">Level of the research burden and inconvenience to subjects is expected to be minimal, as the interviewees are either stakeholders that devoted significant effort and time to the </w:t>
      </w:r>
      <w:r w:rsidR="00EE5F9D">
        <w:rPr>
          <w:rFonts w:asciiTheme="majorHAnsi" w:hAnsiTheme="majorHAnsi" w:cstheme="majorHAnsi"/>
        </w:rPr>
        <w:t>COVID-19 response</w:t>
      </w:r>
      <w:r w:rsidR="00830F48">
        <w:rPr>
          <w:rFonts w:asciiTheme="majorHAnsi" w:hAnsiTheme="majorHAnsi" w:cstheme="majorHAnsi"/>
        </w:rPr>
        <w:t xml:space="preserve">, or </w:t>
      </w:r>
      <w:r w:rsidRPr="00515CF0">
        <w:rPr>
          <w:rFonts w:asciiTheme="majorHAnsi" w:hAnsiTheme="majorHAnsi" w:cstheme="majorHAnsi"/>
        </w:rPr>
        <w:t xml:space="preserve">are directly affected by the </w:t>
      </w:r>
      <w:r w:rsidR="00830F48">
        <w:rPr>
          <w:rFonts w:asciiTheme="majorHAnsi" w:hAnsiTheme="majorHAnsi" w:cstheme="majorHAnsi"/>
        </w:rPr>
        <w:t>pandemic response and</w:t>
      </w:r>
      <w:r w:rsidRPr="00515CF0">
        <w:rPr>
          <w:rFonts w:asciiTheme="majorHAnsi" w:hAnsiTheme="majorHAnsi" w:cstheme="majorHAnsi"/>
        </w:rPr>
        <w:t xml:space="preserve"> may benefit from the study that may lead to the improvements of the </w:t>
      </w:r>
      <w:r w:rsidR="00830F48">
        <w:rPr>
          <w:rFonts w:asciiTheme="majorHAnsi" w:hAnsiTheme="majorHAnsi" w:cstheme="majorHAnsi"/>
        </w:rPr>
        <w:t>pandemic response measures in future</w:t>
      </w:r>
      <w:r w:rsidRPr="00515CF0">
        <w:rPr>
          <w:rFonts w:asciiTheme="majorHAnsi" w:hAnsiTheme="majorHAnsi" w:cstheme="majorHAnsi"/>
        </w:rPr>
        <w:t xml:space="preserve">. </w:t>
      </w:r>
      <w:r w:rsidR="00475037" w:rsidRPr="00515CF0">
        <w:rPr>
          <w:rFonts w:asciiTheme="majorHAnsi" w:hAnsiTheme="majorHAnsi" w:cstheme="majorHAnsi"/>
        </w:rPr>
        <w:t xml:space="preserve"> </w:t>
      </w:r>
      <w:r w:rsidR="000E2CFE" w:rsidRPr="00515CF0">
        <w:rPr>
          <w:rFonts w:asciiTheme="majorHAnsi" w:hAnsiTheme="majorHAnsi" w:cstheme="majorHAnsi"/>
        </w:rPr>
        <w:t>R</w:t>
      </w:r>
      <w:r w:rsidR="003473B2" w:rsidRPr="00515CF0">
        <w:rPr>
          <w:rFonts w:asciiTheme="majorHAnsi" w:hAnsiTheme="majorHAnsi" w:cstheme="majorHAnsi"/>
        </w:rPr>
        <w:t xml:space="preserve">esults of the study will be shared with policymakers during and after the National Dissemination Workshop that will be organized at the end of the study. </w:t>
      </w:r>
      <w:r w:rsidR="0033339A" w:rsidRPr="00515CF0">
        <w:rPr>
          <w:rFonts w:asciiTheme="majorHAnsi" w:hAnsiTheme="majorHAnsi" w:cstheme="majorHAnsi"/>
        </w:rPr>
        <w:t xml:space="preserve">The study results in the form of a policy brief in </w:t>
      </w:r>
      <w:r w:rsidR="00190C8D">
        <w:rPr>
          <w:rFonts w:asciiTheme="majorHAnsi" w:hAnsiTheme="majorHAnsi" w:cstheme="majorHAnsi"/>
        </w:rPr>
        <w:t>Georgian</w:t>
      </w:r>
      <w:r w:rsidR="0033339A" w:rsidRPr="00515CF0">
        <w:rPr>
          <w:rFonts w:asciiTheme="majorHAnsi" w:hAnsiTheme="majorHAnsi" w:cstheme="majorHAnsi"/>
        </w:rPr>
        <w:t xml:space="preserve"> and English will be available on the websites of the Curatio International Foundation, where </w:t>
      </w:r>
      <w:r w:rsidR="001801E4" w:rsidRPr="00515CF0">
        <w:rPr>
          <w:rFonts w:asciiTheme="majorHAnsi" w:hAnsiTheme="majorHAnsi" w:cstheme="majorHAnsi"/>
        </w:rPr>
        <w:t xml:space="preserve">they can be accessed by the </w:t>
      </w:r>
      <w:r w:rsidR="00190C8D">
        <w:rPr>
          <w:rFonts w:asciiTheme="majorHAnsi" w:hAnsiTheme="majorHAnsi" w:cstheme="majorHAnsi"/>
        </w:rPr>
        <w:t>study</w:t>
      </w:r>
      <w:r w:rsidR="001801E4" w:rsidRPr="00515CF0">
        <w:rPr>
          <w:rFonts w:asciiTheme="majorHAnsi" w:hAnsiTheme="majorHAnsi" w:cstheme="majorHAnsi"/>
        </w:rPr>
        <w:t xml:space="preserve"> participants, along with any other interested parties or individuals. </w:t>
      </w:r>
    </w:p>
    <w:sdt>
      <w:sdtPr>
        <w:rPr>
          <w:b w:val="0"/>
          <w:bCs w:val="0"/>
          <w:kern w:val="0"/>
          <w:sz w:val="22"/>
          <w:szCs w:val="24"/>
        </w:rPr>
        <w:id w:val="1658952744"/>
        <w:docPartObj>
          <w:docPartGallery w:val="Bibliographies"/>
          <w:docPartUnique/>
        </w:docPartObj>
      </w:sdtPr>
      <w:sdtEndPr/>
      <w:sdtContent>
        <w:p w14:paraId="0735AF3F" w14:textId="716E599D" w:rsidR="00990DB6" w:rsidRDefault="00990DB6">
          <w:pPr>
            <w:pStyle w:val="Heading1"/>
          </w:pPr>
          <w:r>
            <w:t>References</w:t>
          </w:r>
        </w:p>
        <w:sdt>
          <w:sdtPr>
            <w:id w:val="-573587230"/>
            <w:bibliography/>
          </w:sdtPr>
          <w:sdtEndPr/>
          <w:sdtContent>
            <w:p w14:paraId="5AC65F28" w14:textId="77777777" w:rsidR="00990DB6" w:rsidRDefault="00990DB6">
              <w:pPr>
                <w:rPr>
                  <w:rFonts w:ascii="Times New Roman" w:eastAsia="Times New Roman" w:hAnsi="Times New Roman"/>
                  <w:noProof/>
                  <w:sz w:val="20"/>
                  <w:szCs w:val="20"/>
                  <w:lang w:eastAsia="en-US"/>
                </w:rPr>
              </w:pPr>
              <w:r>
                <w:fldChar w:fldCharType="begin"/>
              </w:r>
              <w:r>
                <w:instrText xml:space="preserve"> BIBLIOGRAPHY </w:instrText>
              </w:r>
              <w:r>
                <w:fldChar w:fldCharType="separate"/>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50"/>
                <w:gridCol w:w="8637"/>
              </w:tblGrid>
              <w:tr w:rsidR="00990DB6" w14:paraId="56BC574E" w14:textId="77777777" w:rsidTr="00A11F28">
                <w:trPr>
                  <w:divId w:val="687800326"/>
                  <w:tblCellSpacing w:w="15" w:type="dxa"/>
                </w:trPr>
                <w:tc>
                  <w:tcPr>
                    <w:tcW w:w="223" w:type="pct"/>
                    <w:hideMark/>
                  </w:tcPr>
                  <w:p w14:paraId="64CF393B" w14:textId="0C6A0820" w:rsidR="00990DB6" w:rsidRDefault="00990DB6">
                    <w:pPr>
                      <w:pStyle w:val="Bibliography"/>
                      <w:rPr>
                        <w:noProof/>
                        <w:sz w:val="24"/>
                      </w:rPr>
                    </w:pPr>
                    <w:r>
                      <w:rPr>
                        <w:noProof/>
                      </w:rPr>
                      <w:t xml:space="preserve">[1] </w:t>
                    </w:r>
                  </w:p>
                </w:tc>
                <w:tc>
                  <w:tcPr>
                    <w:tcW w:w="4728" w:type="pct"/>
                    <w:hideMark/>
                  </w:tcPr>
                  <w:p w14:paraId="7CD371A9" w14:textId="1AD86DC0" w:rsidR="00990DB6" w:rsidRDefault="00990DB6">
                    <w:pPr>
                      <w:pStyle w:val="Bibliography"/>
                      <w:rPr>
                        <w:noProof/>
                      </w:rPr>
                    </w:pPr>
                    <w:r>
                      <w:rPr>
                        <w:noProof/>
                      </w:rPr>
                      <w:t xml:space="preserve">John Hopkins University, </w:t>
                    </w:r>
                    <w:r w:rsidR="00B0643C">
                      <w:rPr>
                        <w:noProof/>
                      </w:rPr>
                      <w:t>“</w:t>
                    </w:r>
                    <w:r>
                      <w:rPr>
                        <w:noProof/>
                      </w:rPr>
                      <w:t>Coronavirus Resource Center,</w:t>
                    </w:r>
                    <w:r w:rsidR="00B0643C">
                      <w:rPr>
                        <w:noProof/>
                      </w:rPr>
                      <w:t>”</w:t>
                    </w:r>
                    <w:r>
                      <w:rPr>
                        <w:noProof/>
                      </w:rPr>
                      <w:t xml:space="preserve"> 3 September 2020. [Online]. Available: https://coronavirus.jhu.edu/map.html.</w:t>
                    </w:r>
                  </w:p>
                </w:tc>
              </w:tr>
              <w:tr w:rsidR="00990DB6" w14:paraId="52BD3756" w14:textId="77777777" w:rsidTr="00A11F28">
                <w:trPr>
                  <w:divId w:val="687800326"/>
                  <w:tblCellSpacing w:w="15" w:type="dxa"/>
                </w:trPr>
                <w:tc>
                  <w:tcPr>
                    <w:tcW w:w="223" w:type="pct"/>
                    <w:hideMark/>
                  </w:tcPr>
                  <w:p w14:paraId="126E2F5E" w14:textId="77777777" w:rsidR="00990DB6" w:rsidRDefault="00990DB6">
                    <w:pPr>
                      <w:pStyle w:val="Bibliography"/>
                      <w:rPr>
                        <w:noProof/>
                      </w:rPr>
                    </w:pPr>
                    <w:r>
                      <w:rPr>
                        <w:noProof/>
                      </w:rPr>
                      <w:t xml:space="preserve">[2] </w:t>
                    </w:r>
                  </w:p>
                </w:tc>
                <w:tc>
                  <w:tcPr>
                    <w:tcW w:w="4728" w:type="pct"/>
                    <w:hideMark/>
                  </w:tcPr>
                  <w:p w14:paraId="281BEF6F" w14:textId="04A5FE00" w:rsidR="00990DB6" w:rsidRDefault="00990DB6">
                    <w:pPr>
                      <w:pStyle w:val="Bibliography"/>
                      <w:rPr>
                        <w:noProof/>
                      </w:rPr>
                    </w:pPr>
                    <w:r>
                      <w:rPr>
                        <w:noProof/>
                      </w:rPr>
                      <w:t xml:space="preserve">GeoStat, </w:t>
                    </w:r>
                    <w:r w:rsidR="00B0643C">
                      <w:rPr>
                        <w:noProof/>
                      </w:rPr>
                      <w:t>“</w:t>
                    </w:r>
                    <w:r>
                      <w:rPr>
                        <w:noProof/>
                      </w:rPr>
                      <w:t>Naitonal Statistics Office of Georgia. Population and Demographics,</w:t>
                    </w:r>
                    <w:r w:rsidR="00B0643C">
                      <w:rPr>
                        <w:noProof/>
                      </w:rPr>
                      <w:t>”</w:t>
                    </w:r>
                    <w:r>
                      <w:rPr>
                        <w:noProof/>
                      </w:rPr>
                      <w:t xml:space="preserve"> June 2020. [Online]. Available: https://www.geostat.ge/en/modules/categories/41/population . [Accessed 3 September 2020].</w:t>
                    </w:r>
                  </w:p>
                </w:tc>
              </w:tr>
              <w:tr w:rsidR="00990DB6" w14:paraId="788AF6F0" w14:textId="77777777" w:rsidTr="00A11F28">
                <w:trPr>
                  <w:divId w:val="687800326"/>
                  <w:tblCellSpacing w:w="15" w:type="dxa"/>
                </w:trPr>
                <w:tc>
                  <w:tcPr>
                    <w:tcW w:w="223" w:type="pct"/>
                    <w:hideMark/>
                  </w:tcPr>
                  <w:p w14:paraId="4000B90E" w14:textId="77777777" w:rsidR="00990DB6" w:rsidRDefault="00990DB6">
                    <w:pPr>
                      <w:pStyle w:val="Bibliography"/>
                      <w:rPr>
                        <w:noProof/>
                      </w:rPr>
                    </w:pPr>
                    <w:r>
                      <w:rPr>
                        <w:noProof/>
                      </w:rPr>
                      <w:t xml:space="preserve">[3] </w:t>
                    </w:r>
                  </w:p>
                </w:tc>
                <w:tc>
                  <w:tcPr>
                    <w:tcW w:w="4728" w:type="pct"/>
                    <w:hideMark/>
                  </w:tcPr>
                  <w:p w14:paraId="76C82D9E" w14:textId="3EBB730F" w:rsidR="00990DB6" w:rsidRDefault="00990DB6">
                    <w:pPr>
                      <w:pStyle w:val="Bibliography"/>
                      <w:rPr>
                        <w:noProof/>
                      </w:rPr>
                    </w:pPr>
                    <w:r>
                      <w:rPr>
                        <w:noProof/>
                      </w:rPr>
                      <w:t xml:space="preserve">The World Bank, </w:t>
                    </w:r>
                    <w:r w:rsidR="00B0643C">
                      <w:rPr>
                        <w:noProof/>
                      </w:rPr>
                      <w:t>“</w:t>
                    </w:r>
                    <w:r>
                      <w:rPr>
                        <w:noProof/>
                      </w:rPr>
                      <w:t>World Bank Country and Lending Groups,</w:t>
                    </w:r>
                    <w:r w:rsidR="00B0643C">
                      <w:rPr>
                        <w:noProof/>
                      </w:rPr>
                      <w:t>”</w:t>
                    </w:r>
                    <w:r>
                      <w:rPr>
                        <w:noProof/>
                      </w:rPr>
                      <w:t xml:space="preserve"> 2020. [Online]. Available: https://datahelpdesk.worldbank.org/knowledgebase/articles/906519-world-bank-country-and-lending-groups. [Accessed 3 September 2020].</w:t>
                    </w:r>
                  </w:p>
                </w:tc>
              </w:tr>
              <w:tr w:rsidR="00990DB6" w14:paraId="223CE5E2" w14:textId="77777777" w:rsidTr="00A11F28">
                <w:trPr>
                  <w:divId w:val="687800326"/>
                  <w:tblCellSpacing w:w="15" w:type="dxa"/>
                </w:trPr>
                <w:tc>
                  <w:tcPr>
                    <w:tcW w:w="223" w:type="pct"/>
                    <w:hideMark/>
                  </w:tcPr>
                  <w:p w14:paraId="06304ECD" w14:textId="77777777" w:rsidR="00990DB6" w:rsidRDefault="00990DB6">
                    <w:pPr>
                      <w:pStyle w:val="Bibliography"/>
                      <w:rPr>
                        <w:noProof/>
                      </w:rPr>
                    </w:pPr>
                    <w:r>
                      <w:rPr>
                        <w:noProof/>
                      </w:rPr>
                      <w:t xml:space="preserve">[4] </w:t>
                    </w:r>
                  </w:p>
                </w:tc>
                <w:tc>
                  <w:tcPr>
                    <w:tcW w:w="4728" w:type="pct"/>
                    <w:hideMark/>
                  </w:tcPr>
                  <w:p w14:paraId="064BBA76" w14:textId="73D8957C" w:rsidR="00990DB6" w:rsidRDefault="00990DB6">
                    <w:pPr>
                      <w:pStyle w:val="Bibliography"/>
                      <w:rPr>
                        <w:noProof/>
                      </w:rPr>
                    </w:pPr>
                    <w:r>
                      <w:rPr>
                        <w:noProof/>
                      </w:rPr>
                      <w:t xml:space="preserve">The World Bank. , </w:t>
                    </w:r>
                    <w:r w:rsidR="00B0643C">
                      <w:rPr>
                        <w:noProof/>
                      </w:rPr>
                      <w:t>“</w:t>
                    </w:r>
                    <w:r>
                      <w:rPr>
                        <w:noProof/>
                      </w:rPr>
                      <w:t>The World Bank in Georgia,</w:t>
                    </w:r>
                    <w:r w:rsidR="00B0643C">
                      <w:rPr>
                        <w:noProof/>
                      </w:rPr>
                      <w:t>”</w:t>
                    </w:r>
                    <w:r>
                      <w:rPr>
                        <w:noProof/>
                      </w:rPr>
                      <w:t xml:space="preserve"> 16 April 2020. [Online]. Available: https://www.worldbank.org/en/country/georgia/overview. [Accessed 3 September 2020].</w:t>
                    </w:r>
                  </w:p>
                </w:tc>
              </w:tr>
              <w:tr w:rsidR="00990DB6" w14:paraId="28424A30" w14:textId="77777777" w:rsidTr="00A11F28">
                <w:trPr>
                  <w:divId w:val="687800326"/>
                  <w:tblCellSpacing w:w="15" w:type="dxa"/>
                </w:trPr>
                <w:tc>
                  <w:tcPr>
                    <w:tcW w:w="223" w:type="pct"/>
                    <w:hideMark/>
                  </w:tcPr>
                  <w:p w14:paraId="154BDE9A" w14:textId="77777777" w:rsidR="00990DB6" w:rsidRDefault="00990DB6">
                    <w:pPr>
                      <w:pStyle w:val="Bibliography"/>
                      <w:rPr>
                        <w:noProof/>
                      </w:rPr>
                    </w:pPr>
                    <w:r>
                      <w:rPr>
                        <w:noProof/>
                      </w:rPr>
                      <w:t xml:space="preserve">[5] </w:t>
                    </w:r>
                  </w:p>
                </w:tc>
                <w:tc>
                  <w:tcPr>
                    <w:tcW w:w="4728" w:type="pct"/>
                    <w:hideMark/>
                  </w:tcPr>
                  <w:p w14:paraId="1AA78912" w14:textId="6FFE5ED7" w:rsidR="00990DB6" w:rsidRDefault="00990DB6">
                    <w:pPr>
                      <w:pStyle w:val="Bibliography"/>
                      <w:rPr>
                        <w:noProof/>
                      </w:rPr>
                    </w:pPr>
                    <w:r>
                      <w:rPr>
                        <w:noProof/>
                      </w:rPr>
                      <w:t xml:space="preserve">A. Gamkrelidze, A. R. G. Gotsadze and L. MacLehose, </w:t>
                    </w:r>
                    <w:r w:rsidR="00B0643C">
                      <w:rPr>
                        <w:noProof/>
                      </w:rPr>
                      <w:t>“</w:t>
                    </w:r>
                    <w:r>
                      <w:rPr>
                        <w:noProof/>
                      </w:rPr>
                      <w:t>Health care systems in transition: Georgia,</w:t>
                    </w:r>
                    <w:r w:rsidR="00B0643C">
                      <w:rPr>
                        <w:noProof/>
                      </w:rPr>
                      <w:t>”</w:t>
                    </w:r>
                    <w:r>
                      <w:rPr>
                        <w:noProof/>
                      </w:rPr>
                      <w:t xml:space="preserve"> </w:t>
                    </w:r>
                    <w:r>
                      <w:rPr>
                        <w:i/>
                        <w:iCs/>
                        <w:noProof/>
                      </w:rPr>
                      <w:t xml:space="preserve">Health care systems in transition, </w:t>
                    </w:r>
                    <w:r>
                      <w:rPr>
                        <w:noProof/>
                      </w:rPr>
                      <w:t xml:space="preserve">vol. 4, no. 2, 2002. </w:t>
                    </w:r>
                  </w:p>
                </w:tc>
              </w:tr>
              <w:tr w:rsidR="00990DB6" w14:paraId="51618707" w14:textId="77777777" w:rsidTr="00A11F28">
                <w:trPr>
                  <w:divId w:val="687800326"/>
                  <w:tblCellSpacing w:w="15" w:type="dxa"/>
                </w:trPr>
                <w:tc>
                  <w:tcPr>
                    <w:tcW w:w="223" w:type="pct"/>
                    <w:hideMark/>
                  </w:tcPr>
                  <w:p w14:paraId="1224D454" w14:textId="77777777" w:rsidR="00990DB6" w:rsidRDefault="00990DB6">
                    <w:pPr>
                      <w:pStyle w:val="Bibliography"/>
                      <w:rPr>
                        <w:noProof/>
                      </w:rPr>
                    </w:pPr>
                    <w:r>
                      <w:rPr>
                        <w:noProof/>
                      </w:rPr>
                      <w:t xml:space="preserve">[6] </w:t>
                    </w:r>
                  </w:p>
                </w:tc>
                <w:tc>
                  <w:tcPr>
                    <w:tcW w:w="4728" w:type="pct"/>
                    <w:hideMark/>
                  </w:tcPr>
                  <w:p w14:paraId="29F25988" w14:textId="68FBAD1D" w:rsidR="00990DB6" w:rsidRDefault="00990DB6">
                    <w:pPr>
                      <w:pStyle w:val="Bibliography"/>
                      <w:rPr>
                        <w:noProof/>
                      </w:rPr>
                    </w:pPr>
                    <w:r>
                      <w:rPr>
                        <w:noProof/>
                      </w:rPr>
                      <w:t xml:space="preserve">World Health Organisation. Regional Office for Europe, </w:t>
                    </w:r>
                    <w:r w:rsidR="00B0643C">
                      <w:rPr>
                        <w:noProof/>
                      </w:rPr>
                      <w:t>“</w:t>
                    </w:r>
                    <w:r>
                      <w:rPr>
                        <w:noProof/>
                      </w:rPr>
                      <w:t>Georgia’s health financing reforms show tangible benefits for the population,</w:t>
                    </w:r>
                    <w:r w:rsidR="00B0643C">
                      <w:rPr>
                        <w:noProof/>
                      </w:rPr>
                      <w:t>”</w:t>
                    </w:r>
                    <w:r>
                      <w:rPr>
                        <w:noProof/>
                      </w:rPr>
                      <w:t xml:space="preserve"> 14 July 2015. [Online]. Available: https://www.euro.who.int/en/countries/georgia/news/news/2015/07/georgias-health-financing-reforms-show-tangible-benefits-for-the-population. [Accessed 3 September 2020].</w:t>
                    </w:r>
                  </w:p>
                </w:tc>
              </w:tr>
              <w:tr w:rsidR="00990DB6" w14:paraId="6808BBE3" w14:textId="77777777" w:rsidTr="00A11F28">
                <w:trPr>
                  <w:divId w:val="687800326"/>
                  <w:tblCellSpacing w:w="15" w:type="dxa"/>
                </w:trPr>
                <w:tc>
                  <w:tcPr>
                    <w:tcW w:w="223" w:type="pct"/>
                    <w:hideMark/>
                  </w:tcPr>
                  <w:p w14:paraId="25860278" w14:textId="77777777" w:rsidR="00990DB6" w:rsidRDefault="00990DB6">
                    <w:pPr>
                      <w:pStyle w:val="Bibliography"/>
                      <w:rPr>
                        <w:noProof/>
                      </w:rPr>
                    </w:pPr>
                    <w:r>
                      <w:rPr>
                        <w:noProof/>
                      </w:rPr>
                      <w:t xml:space="preserve">[7] </w:t>
                    </w:r>
                  </w:p>
                </w:tc>
                <w:tc>
                  <w:tcPr>
                    <w:tcW w:w="4728" w:type="pct"/>
                    <w:hideMark/>
                  </w:tcPr>
                  <w:p w14:paraId="211970CA" w14:textId="04E8F559" w:rsidR="00990DB6" w:rsidRDefault="00990DB6">
                    <w:pPr>
                      <w:pStyle w:val="Bibliography"/>
                      <w:rPr>
                        <w:noProof/>
                      </w:rPr>
                    </w:pPr>
                    <w:r>
                      <w:rPr>
                        <w:noProof/>
                      </w:rPr>
                      <w:t xml:space="preserve">B. N. Richardson E., </w:t>
                    </w:r>
                    <w:r w:rsidR="00B0643C">
                      <w:rPr>
                        <w:noProof/>
                      </w:rPr>
                      <w:t>“</w:t>
                    </w:r>
                    <w:r>
                      <w:rPr>
                        <w:noProof/>
                      </w:rPr>
                      <w:t>Georgia: Health system review.,</w:t>
                    </w:r>
                    <w:r w:rsidR="00B0643C">
                      <w:rPr>
                        <w:noProof/>
                      </w:rPr>
                      <w:t>”</w:t>
                    </w:r>
                    <w:r>
                      <w:rPr>
                        <w:noProof/>
                      </w:rPr>
                      <w:t xml:space="preserve"> </w:t>
                    </w:r>
                    <w:r>
                      <w:rPr>
                        <w:i/>
                        <w:iCs/>
                        <w:noProof/>
                      </w:rPr>
                      <w:t xml:space="preserve">Health Systems in Transition, </w:t>
                    </w:r>
                    <w:r>
                      <w:rPr>
                        <w:noProof/>
                      </w:rPr>
                      <w:t xml:space="preserve">vol. 19, no. 4, pp. 1-90, 2017. </w:t>
                    </w:r>
                  </w:p>
                </w:tc>
              </w:tr>
              <w:tr w:rsidR="00990DB6" w14:paraId="654FFB66" w14:textId="77777777" w:rsidTr="00A11F28">
                <w:trPr>
                  <w:divId w:val="687800326"/>
                  <w:tblCellSpacing w:w="15" w:type="dxa"/>
                </w:trPr>
                <w:tc>
                  <w:tcPr>
                    <w:tcW w:w="223" w:type="pct"/>
                    <w:hideMark/>
                  </w:tcPr>
                  <w:p w14:paraId="321CF0BF" w14:textId="77777777" w:rsidR="00990DB6" w:rsidRDefault="00990DB6">
                    <w:pPr>
                      <w:pStyle w:val="Bibliography"/>
                      <w:rPr>
                        <w:noProof/>
                      </w:rPr>
                    </w:pPr>
                    <w:r>
                      <w:rPr>
                        <w:noProof/>
                      </w:rPr>
                      <w:t xml:space="preserve">[8] </w:t>
                    </w:r>
                  </w:p>
                </w:tc>
                <w:tc>
                  <w:tcPr>
                    <w:tcW w:w="4728" w:type="pct"/>
                    <w:hideMark/>
                  </w:tcPr>
                  <w:p w14:paraId="1B4C9DD7" w14:textId="77777777" w:rsidR="00990DB6" w:rsidRDefault="00990DB6">
                    <w:pPr>
                      <w:pStyle w:val="Bibliography"/>
                      <w:rPr>
                        <w:noProof/>
                      </w:rPr>
                    </w:pPr>
                    <w:r>
                      <w:rPr>
                        <w:noProof/>
                      </w:rPr>
                      <w:t>National Democrratic Institute - Georgia, "Public Opinion Reasearch," January - July 2019. [Online]. Available: https://www.ndi.org/georgia-polls. [Accessed 3 September 2020].</w:t>
                    </w:r>
                  </w:p>
                </w:tc>
              </w:tr>
              <w:tr w:rsidR="00990DB6" w14:paraId="06C0ECF7" w14:textId="77777777" w:rsidTr="00A11F28">
                <w:trPr>
                  <w:divId w:val="687800326"/>
                  <w:tblCellSpacing w:w="15" w:type="dxa"/>
                </w:trPr>
                <w:tc>
                  <w:tcPr>
                    <w:tcW w:w="223" w:type="pct"/>
                    <w:hideMark/>
                  </w:tcPr>
                  <w:p w14:paraId="486C5E08" w14:textId="77777777" w:rsidR="00990DB6" w:rsidRDefault="00990DB6">
                    <w:pPr>
                      <w:pStyle w:val="Bibliography"/>
                      <w:rPr>
                        <w:noProof/>
                      </w:rPr>
                    </w:pPr>
                    <w:r>
                      <w:rPr>
                        <w:noProof/>
                      </w:rPr>
                      <w:t xml:space="preserve">[9] </w:t>
                    </w:r>
                  </w:p>
                </w:tc>
                <w:tc>
                  <w:tcPr>
                    <w:tcW w:w="4728" w:type="pct"/>
                    <w:hideMark/>
                  </w:tcPr>
                  <w:p w14:paraId="00603AEB" w14:textId="77777777" w:rsidR="00990DB6" w:rsidRDefault="00990DB6">
                    <w:pPr>
                      <w:pStyle w:val="Bibliography"/>
                      <w:rPr>
                        <w:noProof/>
                      </w:rPr>
                    </w:pPr>
                    <w:r>
                      <w:rPr>
                        <w:noProof/>
                      </w:rPr>
                      <w:t>Curatio International Foundation, "Health Sector Barometer," 2014-2019. [Online]. Available: http://curatiofoundation.org/ge/?lang=ge&amp;s=%E1%83%91%E1%83%90%E1%83%A0%E1%83%9D%E1%83%9B%E1%83%94%E1%83%A2%E1%83%A0%E1%83%98&amp;lang=ge. [Accessed 2 Septermber 2020].</w:t>
                    </w:r>
                  </w:p>
                </w:tc>
              </w:tr>
              <w:tr w:rsidR="00990DB6" w14:paraId="174BD40D" w14:textId="77777777" w:rsidTr="00A11F28">
                <w:trPr>
                  <w:divId w:val="687800326"/>
                  <w:tblCellSpacing w:w="15" w:type="dxa"/>
                </w:trPr>
                <w:tc>
                  <w:tcPr>
                    <w:tcW w:w="223" w:type="pct"/>
                    <w:hideMark/>
                  </w:tcPr>
                  <w:p w14:paraId="324F7DEC" w14:textId="77777777" w:rsidR="00990DB6" w:rsidRDefault="00990DB6">
                    <w:pPr>
                      <w:pStyle w:val="Bibliography"/>
                      <w:rPr>
                        <w:noProof/>
                      </w:rPr>
                    </w:pPr>
                    <w:r>
                      <w:rPr>
                        <w:noProof/>
                      </w:rPr>
                      <w:lastRenderedPageBreak/>
                      <w:t xml:space="preserve">[10] </w:t>
                    </w:r>
                  </w:p>
                </w:tc>
                <w:tc>
                  <w:tcPr>
                    <w:tcW w:w="4728" w:type="pct"/>
                    <w:hideMark/>
                  </w:tcPr>
                  <w:p w14:paraId="2E9EA5CF" w14:textId="1FE966B2" w:rsidR="00990DB6" w:rsidRDefault="00990DB6">
                    <w:pPr>
                      <w:pStyle w:val="Bibliography"/>
                      <w:rPr>
                        <w:noProof/>
                      </w:rPr>
                    </w:pPr>
                    <w:r>
                      <w:rPr>
                        <w:noProof/>
                      </w:rPr>
                      <w:t xml:space="preserve">Ministry of Finance of Georgia, </w:t>
                    </w:r>
                    <w:r w:rsidR="00B0643C">
                      <w:rPr>
                        <w:noProof/>
                      </w:rPr>
                      <w:t>“</w:t>
                    </w:r>
                    <w:r>
                      <w:rPr>
                        <w:noProof/>
                      </w:rPr>
                      <w:t>State Budget,</w:t>
                    </w:r>
                    <w:r w:rsidR="00B0643C">
                      <w:rPr>
                        <w:noProof/>
                      </w:rPr>
                      <w:t>”</w:t>
                    </w:r>
                    <w:r>
                      <w:rPr>
                        <w:noProof/>
                      </w:rPr>
                      <w:t xml:space="preserve"> 2012-2020. [Online]. Available: https://mof.ge/en/5262. [Accessed 3 September 2020].</w:t>
                    </w:r>
                  </w:p>
                </w:tc>
              </w:tr>
              <w:tr w:rsidR="00990DB6" w14:paraId="65E0DEAE" w14:textId="77777777" w:rsidTr="00A11F28">
                <w:trPr>
                  <w:divId w:val="687800326"/>
                  <w:tblCellSpacing w:w="15" w:type="dxa"/>
                </w:trPr>
                <w:tc>
                  <w:tcPr>
                    <w:tcW w:w="223" w:type="pct"/>
                    <w:hideMark/>
                  </w:tcPr>
                  <w:p w14:paraId="5312AA63" w14:textId="77777777" w:rsidR="00990DB6" w:rsidRDefault="00990DB6">
                    <w:pPr>
                      <w:pStyle w:val="Bibliography"/>
                      <w:rPr>
                        <w:noProof/>
                      </w:rPr>
                    </w:pPr>
                    <w:r>
                      <w:rPr>
                        <w:noProof/>
                      </w:rPr>
                      <w:t xml:space="preserve">[11] </w:t>
                    </w:r>
                  </w:p>
                </w:tc>
                <w:tc>
                  <w:tcPr>
                    <w:tcW w:w="4728" w:type="pct"/>
                    <w:hideMark/>
                  </w:tcPr>
                  <w:p w14:paraId="0E1F67E1" w14:textId="337C7FF7" w:rsidR="00990DB6" w:rsidRDefault="00990DB6">
                    <w:pPr>
                      <w:pStyle w:val="Bibliography"/>
                      <w:rPr>
                        <w:noProof/>
                      </w:rPr>
                    </w:pPr>
                    <w:r>
                      <w:rPr>
                        <w:noProof/>
                      </w:rPr>
                      <w:t xml:space="preserve">L. Bakanidze, P. Imnadze and D. Perkins, </w:t>
                    </w:r>
                    <w:r w:rsidR="00B0643C">
                      <w:rPr>
                        <w:noProof/>
                      </w:rPr>
                      <w:t>“</w:t>
                    </w:r>
                    <w:r>
                      <w:rPr>
                        <w:noProof/>
                      </w:rPr>
                      <w:t>Biosafety and biosecurity as essential pillars of international health security and cross-cutting elelments of biological non-proliferation.,</w:t>
                    </w:r>
                    <w:r w:rsidR="00B0643C">
                      <w:rPr>
                        <w:noProof/>
                      </w:rPr>
                      <w:t>”</w:t>
                    </w:r>
                    <w:r>
                      <w:rPr>
                        <w:noProof/>
                      </w:rPr>
                      <w:t xml:space="preserve"> </w:t>
                    </w:r>
                    <w:r>
                      <w:rPr>
                        <w:i/>
                        <w:iCs/>
                        <w:noProof/>
                      </w:rPr>
                      <w:t xml:space="preserve">BMC Public Health, </w:t>
                    </w:r>
                    <w:r>
                      <w:rPr>
                        <w:noProof/>
                      </w:rPr>
                      <w:t xml:space="preserve">vol. 10, no. (Suppl.1): S12, 2010. </w:t>
                    </w:r>
                  </w:p>
                </w:tc>
              </w:tr>
              <w:tr w:rsidR="00990DB6" w14:paraId="12F0C9BD" w14:textId="77777777" w:rsidTr="00A11F28">
                <w:trPr>
                  <w:divId w:val="687800326"/>
                  <w:tblCellSpacing w:w="15" w:type="dxa"/>
                </w:trPr>
                <w:tc>
                  <w:tcPr>
                    <w:tcW w:w="223" w:type="pct"/>
                    <w:hideMark/>
                  </w:tcPr>
                  <w:p w14:paraId="7ECB9F09" w14:textId="77777777" w:rsidR="00990DB6" w:rsidRDefault="00990DB6">
                    <w:pPr>
                      <w:pStyle w:val="Bibliography"/>
                      <w:rPr>
                        <w:noProof/>
                      </w:rPr>
                    </w:pPr>
                    <w:r>
                      <w:rPr>
                        <w:noProof/>
                      </w:rPr>
                      <w:t xml:space="preserve">[12] </w:t>
                    </w:r>
                  </w:p>
                </w:tc>
                <w:tc>
                  <w:tcPr>
                    <w:tcW w:w="4728" w:type="pct"/>
                    <w:hideMark/>
                  </w:tcPr>
                  <w:p w14:paraId="64A116B3" w14:textId="532307E8" w:rsidR="00990DB6" w:rsidRDefault="00990DB6">
                    <w:pPr>
                      <w:pStyle w:val="Bibliography"/>
                      <w:rPr>
                        <w:noProof/>
                      </w:rPr>
                    </w:pPr>
                    <w:r>
                      <w:rPr>
                        <w:noProof/>
                      </w:rPr>
                      <w:t xml:space="preserve">Minsitry of Labour Health and Social Affairs of Georgia, National Center for Diseases Control of Georgia, Defence Threart Reduction Agency of the US, , </w:t>
                    </w:r>
                    <w:r w:rsidR="00B0643C">
                      <w:rPr>
                        <w:noProof/>
                      </w:rPr>
                      <w:t>“</w:t>
                    </w:r>
                    <w:r>
                      <w:rPr>
                        <w:noProof/>
                      </w:rPr>
                      <w:t>Cooperative Biological Engagement Program. Collaboration with DTRA,</w:t>
                    </w:r>
                    <w:r w:rsidR="00B0643C">
                      <w:rPr>
                        <w:noProof/>
                      </w:rPr>
                      <w:t>”</w:t>
                    </w:r>
                    <w:r>
                      <w:rPr>
                        <w:noProof/>
                      </w:rPr>
                      <w:t xml:space="preserve"> 2015. [Online]. Available: https://www.ncdc.ge/Handlers/GetFile.ashx?ID=bc7bfcd2-b2e7-41e8-842e-69312ed9ec47. [Accessed 3 September 2020].</w:t>
                    </w:r>
                  </w:p>
                </w:tc>
              </w:tr>
              <w:tr w:rsidR="00990DB6" w14:paraId="4629157A" w14:textId="77777777" w:rsidTr="00A11F28">
                <w:trPr>
                  <w:divId w:val="687800326"/>
                  <w:tblCellSpacing w:w="15" w:type="dxa"/>
                </w:trPr>
                <w:tc>
                  <w:tcPr>
                    <w:tcW w:w="223" w:type="pct"/>
                    <w:hideMark/>
                  </w:tcPr>
                  <w:p w14:paraId="3A78230A" w14:textId="77777777" w:rsidR="00990DB6" w:rsidRDefault="00990DB6">
                    <w:pPr>
                      <w:pStyle w:val="Bibliography"/>
                      <w:rPr>
                        <w:noProof/>
                      </w:rPr>
                    </w:pPr>
                    <w:r>
                      <w:rPr>
                        <w:noProof/>
                      </w:rPr>
                      <w:t xml:space="preserve">[13] </w:t>
                    </w:r>
                  </w:p>
                </w:tc>
                <w:tc>
                  <w:tcPr>
                    <w:tcW w:w="4728" w:type="pct"/>
                    <w:hideMark/>
                  </w:tcPr>
                  <w:p w14:paraId="2DE50622" w14:textId="5762AA12" w:rsidR="00990DB6" w:rsidRDefault="00990DB6">
                    <w:pPr>
                      <w:pStyle w:val="Bibliography"/>
                      <w:rPr>
                        <w:noProof/>
                      </w:rPr>
                    </w:pPr>
                    <w:r>
                      <w:rPr>
                        <w:noProof/>
                      </w:rPr>
                      <w:t xml:space="preserve">World Health Organization, </w:t>
                    </w:r>
                    <w:r w:rsidR="00B0643C">
                      <w:rPr>
                        <w:noProof/>
                      </w:rPr>
                      <w:t>“</w:t>
                    </w:r>
                    <w:r>
                      <w:rPr>
                        <w:noProof/>
                      </w:rPr>
                      <w:t>Joint external evaluation of IHR core capacities of Georgia:,</w:t>
                    </w:r>
                    <w:r w:rsidR="00B0643C">
                      <w:rPr>
                        <w:noProof/>
                      </w:rPr>
                      <w:t>”</w:t>
                    </w:r>
                    <w:r>
                      <w:rPr>
                        <w:noProof/>
                      </w:rPr>
                      <w:t xml:space="preserve"> (WHO/WHE/CPI/2019.13). Licence: CC BY-NC-SA 3.0 IGO, Geneva, 2017.</w:t>
                    </w:r>
                  </w:p>
                </w:tc>
              </w:tr>
              <w:tr w:rsidR="00990DB6" w14:paraId="52E35790" w14:textId="77777777" w:rsidTr="00A11F28">
                <w:trPr>
                  <w:divId w:val="687800326"/>
                  <w:tblCellSpacing w:w="15" w:type="dxa"/>
                </w:trPr>
                <w:tc>
                  <w:tcPr>
                    <w:tcW w:w="223" w:type="pct"/>
                    <w:hideMark/>
                  </w:tcPr>
                  <w:p w14:paraId="3129BBF8" w14:textId="77777777" w:rsidR="00990DB6" w:rsidRDefault="00990DB6">
                    <w:pPr>
                      <w:pStyle w:val="Bibliography"/>
                      <w:rPr>
                        <w:noProof/>
                      </w:rPr>
                    </w:pPr>
                    <w:r>
                      <w:rPr>
                        <w:noProof/>
                      </w:rPr>
                      <w:t xml:space="preserve">[14] </w:t>
                    </w:r>
                  </w:p>
                </w:tc>
                <w:tc>
                  <w:tcPr>
                    <w:tcW w:w="4728" w:type="pct"/>
                    <w:hideMark/>
                  </w:tcPr>
                  <w:p w14:paraId="291CD9FC" w14:textId="7D2F3263" w:rsidR="00990DB6" w:rsidRDefault="00990DB6">
                    <w:pPr>
                      <w:pStyle w:val="Bibliography"/>
                      <w:rPr>
                        <w:noProof/>
                      </w:rPr>
                    </w:pPr>
                    <w:r>
                      <w:rPr>
                        <w:noProof/>
                      </w:rPr>
                      <w:t xml:space="preserve">The World Bank, </w:t>
                    </w:r>
                    <w:r w:rsidR="00B0643C">
                      <w:rPr>
                        <w:noProof/>
                      </w:rPr>
                      <w:t>“</w:t>
                    </w:r>
                    <w:r>
                      <w:rPr>
                        <w:noProof/>
                      </w:rPr>
                      <w:t>An avian influenza control and human pandemic preparedness and response project under the Global Program for Avian Influenza (GPAI). Implementation Completion and Reults Report,</w:t>
                    </w:r>
                    <w:r w:rsidR="00B0643C">
                      <w:rPr>
                        <w:noProof/>
                      </w:rPr>
                      <w:t>”</w:t>
                    </w:r>
                    <w:r>
                      <w:rPr>
                        <w:noProof/>
                      </w:rPr>
                      <w:t xml:space="preserve"> The World Bank, Washington D.C., 2011.</w:t>
                    </w:r>
                  </w:p>
                </w:tc>
              </w:tr>
              <w:tr w:rsidR="00990DB6" w14:paraId="74DCA704" w14:textId="77777777" w:rsidTr="00A11F28">
                <w:trPr>
                  <w:divId w:val="687800326"/>
                  <w:tblCellSpacing w:w="15" w:type="dxa"/>
                </w:trPr>
                <w:tc>
                  <w:tcPr>
                    <w:tcW w:w="223" w:type="pct"/>
                    <w:hideMark/>
                  </w:tcPr>
                  <w:p w14:paraId="76A2FFEF" w14:textId="77777777" w:rsidR="00990DB6" w:rsidRDefault="00990DB6">
                    <w:pPr>
                      <w:pStyle w:val="Bibliography"/>
                      <w:rPr>
                        <w:noProof/>
                      </w:rPr>
                    </w:pPr>
                    <w:r>
                      <w:rPr>
                        <w:noProof/>
                      </w:rPr>
                      <w:t xml:space="preserve">[15] </w:t>
                    </w:r>
                  </w:p>
                </w:tc>
                <w:tc>
                  <w:tcPr>
                    <w:tcW w:w="4728" w:type="pct"/>
                    <w:hideMark/>
                  </w:tcPr>
                  <w:p w14:paraId="66415EBF" w14:textId="77777777" w:rsidR="00990DB6" w:rsidRDefault="00990DB6">
                    <w:pPr>
                      <w:pStyle w:val="Bibliography"/>
                      <w:rPr>
                        <w:noProof/>
                      </w:rPr>
                    </w:pPr>
                    <w:r>
                      <w:rPr>
                        <w:noProof/>
                      </w:rPr>
                      <w:t>Government of Georgia, "StopCov.ge," 3 September 2020. [Online]. Available: https://stopcov.ge/en. [Accessed 3 September 2020].</w:t>
                    </w:r>
                  </w:p>
                </w:tc>
              </w:tr>
              <w:tr w:rsidR="00990DB6" w14:paraId="46B5FC90" w14:textId="77777777" w:rsidTr="00A11F28">
                <w:trPr>
                  <w:divId w:val="687800326"/>
                  <w:tblCellSpacing w:w="15" w:type="dxa"/>
                </w:trPr>
                <w:tc>
                  <w:tcPr>
                    <w:tcW w:w="223" w:type="pct"/>
                    <w:hideMark/>
                  </w:tcPr>
                  <w:p w14:paraId="5000384B" w14:textId="77777777" w:rsidR="00990DB6" w:rsidRDefault="00990DB6">
                    <w:pPr>
                      <w:pStyle w:val="Bibliography"/>
                      <w:rPr>
                        <w:noProof/>
                      </w:rPr>
                    </w:pPr>
                    <w:r>
                      <w:rPr>
                        <w:noProof/>
                      </w:rPr>
                      <w:t xml:space="preserve">[16] </w:t>
                    </w:r>
                  </w:p>
                </w:tc>
                <w:tc>
                  <w:tcPr>
                    <w:tcW w:w="4728" w:type="pct"/>
                    <w:hideMark/>
                  </w:tcPr>
                  <w:p w14:paraId="337C6831" w14:textId="4CE0EBA4" w:rsidR="00990DB6" w:rsidRDefault="00990DB6">
                    <w:pPr>
                      <w:pStyle w:val="Bibliography"/>
                      <w:rPr>
                        <w:noProof/>
                      </w:rPr>
                    </w:pPr>
                    <w:r>
                      <w:rPr>
                        <w:noProof/>
                      </w:rPr>
                      <w:t xml:space="preserve">D. Peters, T. T. Nhan and A. Taghreed, </w:t>
                    </w:r>
                    <w:r w:rsidR="00B0643C">
                      <w:rPr>
                        <w:noProof/>
                      </w:rPr>
                      <w:t>“</w:t>
                    </w:r>
                    <w:r>
                      <w:rPr>
                        <w:noProof/>
                      </w:rPr>
                      <w:t>Implementation research in health: a practical guide. 2013,</w:t>
                    </w:r>
                    <w:r w:rsidR="00B0643C">
                      <w:rPr>
                        <w:noProof/>
                      </w:rPr>
                      <w:t>”</w:t>
                    </w:r>
                    <w:r>
                      <w:rPr>
                        <w:noProof/>
                      </w:rPr>
                      <w:t xml:space="preserve"> Alliance for Health Policy and Systems Research, WHO, 2013.</w:t>
                    </w:r>
                  </w:p>
                </w:tc>
              </w:tr>
              <w:tr w:rsidR="00990DB6" w14:paraId="558F73B6" w14:textId="77777777" w:rsidTr="00A11F28">
                <w:trPr>
                  <w:divId w:val="687800326"/>
                  <w:tblCellSpacing w:w="15" w:type="dxa"/>
                </w:trPr>
                <w:tc>
                  <w:tcPr>
                    <w:tcW w:w="223" w:type="pct"/>
                    <w:hideMark/>
                  </w:tcPr>
                  <w:p w14:paraId="4EA6F535" w14:textId="77777777" w:rsidR="00990DB6" w:rsidRDefault="00990DB6">
                    <w:pPr>
                      <w:pStyle w:val="Bibliography"/>
                      <w:rPr>
                        <w:noProof/>
                      </w:rPr>
                    </w:pPr>
                    <w:r>
                      <w:rPr>
                        <w:noProof/>
                      </w:rPr>
                      <w:t xml:space="preserve">[17] </w:t>
                    </w:r>
                  </w:p>
                </w:tc>
                <w:tc>
                  <w:tcPr>
                    <w:tcW w:w="4728" w:type="pct"/>
                    <w:hideMark/>
                  </w:tcPr>
                  <w:p w14:paraId="7619C45F" w14:textId="33F88590" w:rsidR="00990DB6" w:rsidRDefault="00990DB6">
                    <w:pPr>
                      <w:pStyle w:val="Bibliography"/>
                      <w:rPr>
                        <w:noProof/>
                      </w:rPr>
                    </w:pPr>
                    <w:r>
                      <w:rPr>
                        <w:noProof/>
                      </w:rPr>
                      <w:t xml:space="preserve">G. Walt, J. Shiffman, H. Schneider, S. Murray, R. Brugha and L. Gilson, </w:t>
                    </w:r>
                    <w:r w:rsidR="00B0643C">
                      <w:rPr>
                        <w:noProof/>
                      </w:rPr>
                      <w:t>“</w:t>
                    </w:r>
                    <w:r>
                      <w:rPr>
                        <w:noProof/>
                      </w:rPr>
                      <w:t>“Doing” health policy analysis: methodological and conceptual reflections and challenges,</w:t>
                    </w:r>
                    <w:r w:rsidR="00B0643C">
                      <w:rPr>
                        <w:noProof/>
                      </w:rPr>
                      <w:t>”</w:t>
                    </w:r>
                    <w:r>
                      <w:rPr>
                        <w:noProof/>
                      </w:rPr>
                      <w:t xml:space="preserve"> </w:t>
                    </w:r>
                    <w:r>
                      <w:rPr>
                        <w:i/>
                        <w:iCs/>
                        <w:noProof/>
                      </w:rPr>
                      <w:t xml:space="preserve">Health Policy Planning, </w:t>
                    </w:r>
                    <w:r>
                      <w:rPr>
                        <w:noProof/>
                      </w:rPr>
                      <w:t xml:space="preserve">vol. 23, no. 5, pp. 308-317, 2008. </w:t>
                    </w:r>
                  </w:p>
                </w:tc>
              </w:tr>
              <w:tr w:rsidR="00990DB6" w14:paraId="7F115952" w14:textId="77777777" w:rsidTr="00A11F28">
                <w:trPr>
                  <w:divId w:val="687800326"/>
                  <w:tblCellSpacing w:w="15" w:type="dxa"/>
                </w:trPr>
                <w:tc>
                  <w:tcPr>
                    <w:tcW w:w="223" w:type="pct"/>
                    <w:hideMark/>
                  </w:tcPr>
                  <w:p w14:paraId="7B56E90D" w14:textId="77777777" w:rsidR="00990DB6" w:rsidRDefault="00990DB6">
                    <w:pPr>
                      <w:pStyle w:val="Bibliography"/>
                      <w:rPr>
                        <w:noProof/>
                      </w:rPr>
                    </w:pPr>
                    <w:r>
                      <w:rPr>
                        <w:noProof/>
                      </w:rPr>
                      <w:t xml:space="preserve">[18] </w:t>
                    </w:r>
                  </w:p>
                </w:tc>
                <w:tc>
                  <w:tcPr>
                    <w:tcW w:w="4728" w:type="pct"/>
                    <w:hideMark/>
                  </w:tcPr>
                  <w:p w14:paraId="5037930E" w14:textId="77777777" w:rsidR="00990DB6" w:rsidRDefault="00990DB6">
                    <w:pPr>
                      <w:pStyle w:val="Bibliography"/>
                      <w:rPr>
                        <w:noProof/>
                      </w:rPr>
                    </w:pPr>
                    <w:r>
                      <w:rPr>
                        <w:noProof/>
                      </w:rPr>
                      <w:t xml:space="preserve">R. K. Yin, Case study research: Design and methods (3rd ed.)., Thousand Oaks, CA: Sage, 2003. </w:t>
                    </w:r>
                  </w:p>
                </w:tc>
              </w:tr>
              <w:tr w:rsidR="00990DB6" w14:paraId="7FBF6358" w14:textId="77777777" w:rsidTr="00A11F28">
                <w:trPr>
                  <w:divId w:val="687800326"/>
                  <w:tblCellSpacing w:w="15" w:type="dxa"/>
                </w:trPr>
                <w:tc>
                  <w:tcPr>
                    <w:tcW w:w="223" w:type="pct"/>
                    <w:hideMark/>
                  </w:tcPr>
                  <w:p w14:paraId="579CABCE" w14:textId="77777777" w:rsidR="00990DB6" w:rsidRDefault="00990DB6">
                    <w:pPr>
                      <w:pStyle w:val="Bibliography"/>
                      <w:rPr>
                        <w:noProof/>
                      </w:rPr>
                    </w:pPr>
                    <w:r>
                      <w:rPr>
                        <w:noProof/>
                      </w:rPr>
                      <w:t xml:space="preserve">[19] </w:t>
                    </w:r>
                  </w:p>
                </w:tc>
                <w:tc>
                  <w:tcPr>
                    <w:tcW w:w="4728" w:type="pct"/>
                    <w:hideMark/>
                  </w:tcPr>
                  <w:p w14:paraId="3077D1FB" w14:textId="080229A7" w:rsidR="00990DB6" w:rsidRDefault="00990DB6">
                    <w:pPr>
                      <w:pStyle w:val="Bibliography"/>
                      <w:rPr>
                        <w:noProof/>
                      </w:rPr>
                    </w:pPr>
                    <w:r>
                      <w:rPr>
                        <w:noProof/>
                      </w:rPr>
                      <w:t xml:space="preserve">J. Keen and T. Packwood, </w:t>
                    </w:r>
                    <w:r w:rsidR="00B0643C">
                      <w:rPr>
                        <w:noProof/>
                      </w:rPr>
                      <w:t>“</w:t>
                    </w:r>
                    <w:r>
                      <w:rPr>
                        <w:noProof/>
                      </w:rPr>
                      <w:t>Using case studies in health services and policy research,</w:t>
                    </w:r>
                    <w:r w:rsidR="00B0643C">
                      <w:rPr>
                        <w:noProof/>
                      </w:rPr>
                      <w:t>”</w:t>
                    </w:r>
                    <w:r>
                      <w:rPr>
                        <w:noProof/>
                      </w:rPr>
                      <w:t xml:space="preserve"> in </w:t>
                    </w:r>
                    <w:r>
                      <w:rPr>
                        <w:i/>
                        <w:iCs/>
                        <w:noProof/>
                      </w:rPr>
                      <w:t>Qualitative Research in Health Care</w:t>
                    </w:r>
                    <w:r>
                      <w:rPr>
                        <w:noProof/>
                      </w:rPr>
                      <w:t xml:space="preserve">, C. Pope and N. Mays, Eds., London, BMJ Publishing Group, 1999. </w:t>
                    </w:r>
                  </w:p>
                </w:tc>
              </w:tr>
              <w:tr w:rsidR="00990DB6" w14:paraId="7654EDD6" w14:textId="77777777" w:rsidTr="00A11F28">
                <w:trPr>
                  <w:divId w:val="687800326"/>
                  <w:tblCellSpacing w:w="15" w:type="dxa"/>
                </w:trPr>
                <w:tc>
                  <w:tcPr>
                    <w:tcW w:w="223" w:type="pct"/>
                    <w:hideMark/>
                  </w:tcPr>
                  <w:p w14:paraId="6C532D03" w14:textId="77777777" w:rsidR="00990DB6" w:rsidRDefault="00990DB6">
                    <w:pPr>
                      <w:pStyle w:val="Bibliography"/>
                      <w:rPr>
                        <w:noProof/>
                      </w:rPr>
                    </w:pPr>
                    <w:r>
                      <w:rPr>
                        <w:noProof/>
                      </w:rPr>
                      <w:t xml:space="preserve">[20] </w:t>
                    </w:r>
                  </w:p>
                </w:tc>
                <w:tc>
                  <w:tcPr>
                    <w:tcW w:w="4728" w:type="pct"/>
                    <w:hideMark/>
                  </w:tcPr>
                  <w:p w14:paraId="4DF2CAA5" w14:textId="77777777" w:rsidR="00990DB6" w:rsidRDefault="00990DB6">
                    <w:pPr>
                      <w:pStyle w:val="Bibliography"/>
                      <w:rPr>
                        <w:noProof/>
                      </w:rPr>
                    </w:pPr>
                    <w:r>
                      <w:rPr>
                        <w:noProof/>
                      </w:rPr>
                      <w:t xml:space="preserve">U. Rosenthal, M. Charles and P. Hart, Coping with crises: The management of disasters, riots, and terrorism, Springfield: Charles C Thomas Pub Limited, 1989. </w:t>
                    </w:r>
                  </w:p>
                </w:tc>
              </w:tr>
              <w:tr w:rsidR="00990DB6" w14:paraId="1C191304" w14:textId="77777777" w:rsidTr="00A11F28">
                <w:trPr>
                  <w:divId w:val="687800326"/>
                  <w:tblCellSpacing w:w="15" w:type="dxa"/>
                </w:trPr>
                <w:tc>
                  <w:tcPr>
                    <w:tcW w:w="223" w:type="pct"/>
                    <w:hideMark/>
                  </w:tcPr>
                  <w:p w14:paraId="3335190A" w14:textId="77777777" w:rsidR="00990DB6" w:rsidRDefault="00990DB6">
                    <w:pPr>
                      <w:pStyle w:val="Bibliography"/>
                      <w:rPr>
                        <w:noProof/>
                      </w:rPr>
                    </w:pPr>
                    <w:r>
                      <w:rPr>
                        <w:noProof/>
                      </w:rPr>
                      <w:t xml:space="preserve">[21] </w:t>
                    </w:r>
                  </w:p>
                </w:tc>
                <w:tc>
                  <w:tcPr>
                    <w:tcW w:w="4728" w:type="pct"/>
                    <w:hideMark/>
                  </w:tcPr>
                  <w:p w14:paraId="170E567F" w14:textId="77777777" w:rsidR="00990DB6" w:rsidRDefault="00990DB6">
                    <w:pPr>
                      <w:pStyle w:val="Bibliography"/>
                      <w:rPr>
                        <w:noProof/>
                      </w:rPr>
                    </w:pPr>
                    <w:r>
                      <w:rPr>
                        <w:noProof/>
                      </w:rPr>
                      <w:t xml:space="preserve">K. Buse, N. Mays and G. Walt, Making Health Policy, London: Open University Press, London School of Hygiene and Tropical Medicine, 2005. </w:t>
                    </w:r>
                  </w:p>
                </w:tc>
              </w:tr>
              <w:tr w:rsidR="00990DB6" w14:paraId="5C21F867" w14:textId="77777777" w:rsidTr="00A11F28">
                <w:trPr>
                  <w:divId w:val="687800326"/>
                  <w:tblCellSpacing w:w="15" w:type="dxa"/>
                </w:trPr>
                <w:tc>
                  <w:tcPr>
                    <w:tcW w:w="223" w:type="pct"/>
                    <w:hideMark/>
                  </w:tcPr>
                  <w:p w14:paraId="08FB41DF" w14:textId="77777777" w:rsidR="00990DB6" w:rsidRDefault="00990DB6">
                    <w:pPr>
                      <w:pStyle w:val="Bibliography"/>
                      <w:rPr>
                        <w:noProof/>
                      </w:rPr>
                    </w:pPr>
                    <w:r>
                      <w:rPr>
                        <w:noProof/>
                      </w:rPr>
                      <w:t xml:space="preserve">[22] </w:t>
                    </w:r>
                  </w:p>
                </w:tc>
                <w:tc>
                  <w:tcPr>
                    <w:tcW w:w="4728" w:type="pct"/>
                    <w:hideMark/>
                  </w:tcPr>
                  <w:p w14:paraId="2A1AAB14" w14:textId="196140E9" w:rsidR="00990DB6" w:rsidRDefault="00990DB6">
                    <w:pPr>
                      <w:pStyle w:val="Bibliography"/>
                      <w:rPr>
                        <w:noProof/>
                      </w:rPr>
                    </w:pPr>
                    <w:r>
                      <w:rPr>
                        <w:noProof/>
                      </w:rPr>
                      <w:t xml:space="preserve">G. Walt and L. Gilson, </w:t>
                    </w:r>
                    <w:r w:rsidR="00B0643C">
                      <w:rPr>
                        <w:noProof/>
                      </w:rPr>
                      <w:t>“</w:t>
                    </w:r>
                    <w:r>
                      <w:rPr>
                        <w:noProof/>
                      </w:rPr>
                      <w:t>Reforming the health sector in developing countries: the central role of policy analysis,</w:t>
                    </w:r>
                    <w:r w:rsidR="00B0643C">
                      <w:rPr>
                        <w:noProof/>
                      </w:rPr>
                      <w:t>”</w:t>
                    </w:r>
                    <w:r>
                      <w:rPr>
                        <w:noProof/>
                      </w:rPr>
                      <w:t xml:space="preserve"> </w:t>
                    </w:r>
                    <w:r>
                      <w:rPr>
                        <w:i/>
                        <w:iCs/>
                        <w:noProof/>
                      </w:rPr>
                      <w:t xml:space="preserve">Health Policy and Planning, </w:t>
                    </w:r>
                    <w:r>
                      <w:rPr>
                        <w:noProof/>
                      </w:rPr>
                      <w:t xml:space="preserve">vol. 9, pp. 353-370, 1994. </w:t>
                    </w:r>
                  </w:p>
                </w:tc>
              </w:tr>
              <w:tr w:rsidR="00990DB6" w14:paraId="7C1E6CEF" w14:textId="77777777" w:rsidTr="00A11F28">
                <w:trPr>
                  <w:divId w:val="687800326"/>
                  <w:tblCellSpacing w:w="15" w:type="dxa"/>
                </w:trPr>
                <w:tc>
                  <w:tcPr>
                    <w:tcW w:w="223" w:type="pct"/>
                    <w:hideMark/>
                  </w:tcPr>
                  <w:p w14:paraId="1E4374F7" w14:textId="77777777" w:rsidR="00990DB6" w:rsidRDefault="00990DB6">
                    <w:pPr>
                      <w:pStyle w:val="Bibliography"/>
                      <w:rPr>
                        <w:noProof/>
                      </w:rPr>
                    </w:pPr>
                    <w:r>
                      <w:rPr>
                        <w:noProof/>
                      </w:rPr>
                      <w:t xml:space="preserve">[23] </w:t>
                    </w:r>
                  </w:p>
                </w:tc>
                <w:tc>
                  <w:tcPr>
                    <w:tcW w:w="4728" w:type="pct"/>
                    <w:hideMark/>
                  </w:tcPr>
                  <w:p w14:paraId="1CEAF0A3" w14:textId="59BE53F9" w:rsidR="00990DB6" w:rsidRDefault="00990DB6">
                    <w:pPr>
                      <w:pStyle w:val="Bibliography"/>
                      <w:rPr>
                        <w:noProof/>
                      </w:rPr>
                    </w:pPr>
                    <w:r>
                      <w:rPr>
                        <w:noProof/>
                      </w:rPr>
                      <w:t xml:space="preserve">A. Boin and P. Hart, </w:t>
                    </w:r>
                    <w:r w:rsidR="00B0643C">
                      <w:rPr>
                        <w:noProof/>
                      </w:rPr>
                      <w:t>“</w:t>
                    </w:r>
                    <w:r>
                      <w:rPr>
                        <w:noProof/>
                      </w:rPr>
                      <w:t>Organi</w:t>
                    </w:r>
                    <w:r w:rsidR="00BE4A55">
                      <w:rPr>
                        <w:noProof/>
                      </w:rPr>
                      <w:t>z</w:t>
                    </w:r>
                    <w:r>
                      <w:rPr>
                        <w:noProof/>
                      </w:rPr>
                      <w:t>ing for effective emergency management: Lessons from research,</w:t>
                    </w:r>
                    <w:r w:rsidR="00B0643C">
                      <w:rPr>
                        <w:noProof/>
                      </w:rPr>
                      <w:t>”</w:t>
                    </w:r>
                    <w:r>
                      <w:rPr>
                        <w:noProof/>
                      </w:rPr>
                      <w:t xml:space="preserve"> </w:t>
                    </w:r>
                    <w:r>
                      <w:rPr>
                        <w:i/>
                        <w:iCs/>
                        <w:noProof/>
                      </w:rPr>
                      <w:t xml:space="preserve">Australian Journal of Public Administration, </w:t>
                    </w:r>
                    <w:r>
                      <w:rPr>
                        <w:noProof/>
                      </w:rPr>
                      <w:t xml:space="preserve">vol. 69, no. 4, pp. 357-371, 2010. </w:t>
                    </w:r>
                  </w:p>
                </w:tc>
              </w:tr>
              <w:tr w:rsidR="00990DB6" w14:paraId="1B171360" w14:textId="77777777" w:rsidTr="00A11F28">
                <w:trPr>
                  <w:divId w:val="687800326"/>
                  <w:tblCellSpacing w:w="15" w:type="dxa"/>
                </w:trPr>
                <w:tc>
                  <w:tcPr>
                    <w:tcW w:w="223" w:type="pct"/>
                    <w:hideMark/>
                  </w:tcPr>
                  <w:p w14:paraId="36461738" w14:textId="77777777" w:rsidR="00990DB6" w:rsidRDefault="00990DB6">
                    <w:pPr>
                      <w:pStyle w:val="Bibliography"/>
                      <w:rPr>
                        <w:noProof/>
                      </w:rPr>
                    </w:pPr>
                    <w:r>
                      <w:rPr>
                        <w:noProof/>
                      </w:rPr>
                      <w:t xml:space="preserve">[24] </w:t>
                    </w:r>
                  </w:p>
                </w:tc>
                <w:tc>
                  <w:tcPr>
                    <w:tcW w:w="4728" w:type="pct"/>
                    <w:hideMark/>
                  </w:tcPr>
                  <w:p w14:paraId="39F585B4" w14:textId="77EA1D1B" w:rsidR="00990DB6" w:rsidRDefault="00990DB6">
                    <w:pPr>
                      <w:pStyle w:val="Bibliography"/>
                      <w:rPr>
                        <w:noProof/>
                      </w:rPr>
                    </w:pPr>
                    <w:r>
                      <w:rPr>
                        <w:noProof/>
                      </w:rPr>
                      <w:t xml:space="preserve">R. Brugha and Z. Varvasovszky, </w:t>
                    </w:r>
                    <w:r w:rsidR="00B0643C">
                      <w:rPr>
                        <w:noProof/>
                      </w:rPr>
                      <w:t>“</w:t>
                    </w:r>
                    <w:r>
                      <w:rPr>
                        <w:noProof/>
                      </w:rPr>
                      <w:t>Stakeholder analysis: a review,</w:t>
                    </w:r>
                    <w:r w:rsidR="00B0643C">
                      <w:rPr>
                        <w:noProof/>
                      </w:rPr>
                      <w:t>”</w:t>
                    </w:r>
                    <w:r>
                      <w:rPr>
                        <w:noProof/>
                      </w:rPr>
                      <w:t xml:space="preserve"> </w:t>
                    </w:r>
                    <w:r>
                      <w:rPr>
                        <w:i/>
                        <w:iCs/>
                        <w:noProof/>
                      </w:rPr>
                      <w:t xml:space="preserve">Health Policy Planning, </w:t>
                    </w:r>
                    <w:r>
                      <w:rPr>
                        <w:noProof/>
                      </w:rPr>
                      <w:t xml:space="preserve">vol. 15, pp. 239-246, 2000. </w:t>
                    </w:r>
                  </w:p>
                </w:tc>
              </w:tr>
              <w:tr w:rsidR="00990DB6" w14:paraId="2C7D8B22" w14:textId="77777777" w:rsidTr="00A11F28">
                <w:trPr>
                  <w:divId w:val="687800326"/>
                  <w:tblCellSpacing w:w="15" w:type="dxa"/>
                </w:trPr>
                <w:tc>
                  <w:tcPr>
                    <w:tcW w:w="223" w:type="pct"/>
                    <w:hideMark/>
                  </w:tcPr>
                  <w:p w14:paraId="5F4EFA34" w14:textId="77777777" w:rsidR="00990DB6" w:rsidRDefault="00990DB6">
                    <w:pPr>
                      <w:pStyle w:val="Bibliography"/>
                      <w:rPr>
                        <w:noProof/>
                      </w:rPr>
                    </w:pPr>
                    <w:r>
                      <w:rPr>
                        <w:noProof/>
                      </w:rPr>
                      <w:t xml:space="preserve">[25] </w:t>
                    </w:r>
                  </w:p>
                </w:tc>
                <w:tc>
                  <w:tcPr>
                    <w:tcW w:w="4728" w:type="pct"/>
                    <w:hideMark/>
                  </w:tcPr>
                  <w:p w14:paraId="73E17CCC" w14:textId="0522371E" w:rsidR="00990DB6" w:rsidRDefault="00990DB6">
                    <w:pPr>
                      <w:pStyle w:val="Bibliography"/>
                      <w:rPr>
                        <w:noProof/>
                      </w:rPr>
                    </w:pPr>
                    <w:r>
                      <w:rPr>
                        <w:noProof/>
                      </w:rPr>
                      <w:t xml:space="preserve">L. Gilson and N. Raphaely, </w:t>
                    </w:r>
                    <w:r w:rsidR="00B0643C">
                      <w:rPr>
                        <w:noProof/>
                      </w:rPr>
                      <w:t>“</w:t>
                    </w:r>
                    <w:r>
                      <w:rPr>
                        <w:noProof/>
                      </w:rPr>
                      <w:t>The terrain of health policy analysis in low and middle income countries: a review of published literature 1994-2007,</w:t>
                    </w:r>
                    <w:r w:rsidR="00B0643C">
                      <w:rPr>
                        <w:noProof/>
                      </w:rPr>
                      <w:t>”</w:t>
                    </w:r>
                    <w:r>
                      <w:rPr>
                        <w:noProof/>
                      </w:rPr>
                      <w:t xml:space="preserve"> </w:t>
                    </w:r>
                    <w:r>
                      <w:rPr>
                        <w:i/>
                        <w:iCs/>
                        <w:noProof/>
                      </w:rPr>
                      <w:t xml:space="preserve">Health Policy Planning, </w:t>
                    </w:r>
                    <w:r>
                      <w:rPr>
                        <w:noProof/>
                      </w:rPr>
                      <w:t xml:space="preserve">vol. 23, pp. 294-307, 2008. </w:t>
                    </w:r>
                  </w:p>
                </w:tc>
              </w:tr>
              <w:tr w:rsidR="00990DB6" w14:paraId="36360925" w14:textId="77777777" w:rsidTr="00A11F28">
                <w:trPr>
                  <w:divId w:val="687800326"/>
                  <w:tblCellSpacing w:w="15" w:type="dxa"/>
                </w:trPr>
                <w:tc>
                  <w:tcPr>
                    <w:tcW w:w="223" w:type="pct"/>
                    <w:hideMark/>
                  </w:tcPr>
                  <w:p w14:paraId="674F55EA" w14:textId="77777777" w:rsidR="00990DB6" w:rsidRDefault="00990DB6">
                    <w:pPr>
                      <w:pStyle w:val="Bibliography"/>
                      <w:rPr>
                        <w:noProof/>
                      </w:rPr>
                    </w:pPr>
                    <w:r>
                      <w:rPr>
                        <w:noProof/>
                      </w:rPr>
                      <w:t xml:space="preserve">[26] </w:t>
                    </w:r>
                  </w:p>
                </w:tc>
                <w:tc>
                  <w:tcPr>
                    <w:tcW w:w="4728" w:type="pct"/>
                    <w:hideMark/>
                  </w:tcPr>
                  <w:p w14:paraId="699FE58C" w14:textId="4ECD1992" w:rsidR="00990DB6" w:rsidRDefault="00990DB6">
                    <w:pPr>
                      <w:pStyle w:val="Bibliography"/>
                      <w:rPr>
                        <w:noProof/>
                      </w:rPr>
                    </w:pPr>
                    <w:r>
                      <w:rPr>
                        <w:noProof/>
                      </w:rPr>
                      <w:t xml:space="preserve">J. Hanefeld, S. Mayhew, H. Legido-Quigley and e. al., </w:t>
                    </w:r>
                    <w:r w:rsidR="00B0643C">
                      <w:rPr>
                        <w:noProof/>
                      </w:rPr>
                      <w:t>“</w:t>
                    </w:r>
                    <w:r>
                      <w:rPr>
                        <w:noProof/>
                      </w:rPr>
                      <w:t>Towards an understanding of resilience: responding to health systems shocks,</w:t>
                    </w:r>
                    <w:r w:rsidR="00B0643C">
                      <w:rPr>
                        <w:noProof/>
                      </w:rPr>
                      <w:t>”</w:t>
                    </w:r>
                    <w:r>
                      <w:rPr>
                        <w:noProof/>
                      </w:rPr>
                      <w:t xml:space="preserve"> </w:t>
                    </w:r>
                    <w:r>
                      <w:rPr>
                        <w:i/>
                        <w:iCs/>
                        <w:noProof/>
                      </w:rPr>
                      <w:t xml:space="preserve">Health Policy Plan, </w:t>
                    </w:r>
                    <w:r>
                      <w:rPr>
                        <w:noProof/>
                      </w:rPr>
                      <w:t xml:space="preserve">vol. 33, no. 3, pp. 355-367, 2018. </w:t>
                    </w:r>
                  </w:p>
                </w:tc>
              </w:tr>
              <w:tr w:rsidR="00990DB6" w14:paraId="47EE996C" w14:textId="77777777" w:rsidTr="00A11F28">
                <w:trPr>
                  <w:divId w:val="687800326"/>
                  <w:tblCellSpacing w:w="15" w:type="dxa"/>
                </w:trPr>
                <w:tc>
                  <w:tcPr>
                    <w:tcW w:w="223" w:type="pct"/>
                    <w:hideMark/>
                  </w:tcPr>
                  <w:p w14:paraId="5209AFC0" w14:textId="77777777" w:rsidR="00990DB6" w:rsidRDefault="00990DB6">
                    <w:pPr>
                      <w:pStyle w:val="Bibliography"/>
                      <w:rPr>
                        <w:noProof/>
                      </w:rPr>
                    </w:pPr>
                    <w:r>
                      <w:rPr>
                        <w:noProof/>
                      </w:rPr>
                      <w:lastRenderedPageBreak/>
                      <w:t xml:space="preserve">[27] </w:t>
                    </w:r>
                  </w:p>
                </w:tc>
                <w:tc>
                  <w:tcPr>
                    <w:tcW w:w="4728" w:type="pct"/>
                    <w:hideMark/>
                  </w:tcPr>
                  <w:p w14:paraId="58A83463" w14:textId="0A1D92B7" w:rsidR="00990DB6" w:rsidRDefault="00990DB6">
                    <w:pPr>
                      <w:pStyle w:val="Bibliography"/>
                      <w:rPr>
                        <w:noProof/>
                      </w:rPr>
                    </w:pPr>
                    <w:r>
                      <w:rPr>
                        <w:noProof/>
                      </w:rPr>
                      <w:t xml:space="preserve">E. Barnett-Page and J. Thomas, </w:t>
                    </w:r>
                    <w:r w:rsidR="00B0643C">
                      <w:rPr>
                        <w:noProof/>
                      </w:rPr>
                      <w:t>“</w:t>
                    </w:r>
                    <w:r>
                      <w:rPr>
                        <w:noProof/>
                      </w:rPr>
                      <w:t>Methods for the synthesis of qualitative research: a critical review. 2009 9:59,</w:t>
                    </w:r>
                    <w:r w:rsidR="00B0643C">
                      <w:rPr>
                        <w:noProof/>
                      </w:rPr>
                      <w:t>”</w:t>
                    </w:r>
                    <w:r>
                      <w:rPr>
                        <w:noProof/>
                      </w:rPr>
                      <w:t xml:space="preserve"> </w:t>
                    </w:r>
                    <w:r>
                      <w:rPr>
                        <w:i/>
                        <w:iCs/>
                        <w:noProof/>
                      </w:rPr>
                      <w:t xml:space="preserve">BMC Medical Research Methodology, </w:t>
                    </w:r>
                    <w:r>
                      <w:rPr>
                        <w:noProof/>
                      </w:rPr>
                      <w:t xml:space="preserve">vol. 9, no. 59, 2009. </w:t>
                    </w:r>
                  </w:p>
                </w:tc>
              </w:tr>
              <w:tr w:rsidR="00990DB6" w14:paraId="13748DD6" w14:textId="77777777" w:rsidTr="00A11F28">
                <w:trPr>
                  <w:divId w:val="687800326"/>
                  <w:tblCellSpacing w:w="15" w:type="dxa"/>
                </w:trPr>
                <w:tc>
                  <w:tcPr>
                    <w:tcW w:w="223" w:type="pct"/>
                    <w:hideMark/>
                  </w:tcPr>
                  <w:p w14:paraId="2780ADCF" w14:textId="77777777" w:rsidR="00990DB6" w:rsidRDefault="00990DB6">
                    <w:pPr>
                      <w:pStyle w:val="Bibliography"/>
                      <w:rPr>
                        <w:noProof/>
                      </w:rPr>
                    </w:pPr>
                    <w:r>
                      <w:rPr>
                        <w:noProof/>
                      </w:rPr>
                      <w:t xml:space="preserve">[28] </w:t>
                    </w:r>
                  </w:p>
                </w:tc>
                <w:tc>
                  <w:tcPr>
                    <w:tcW w:w="4728" w:type="pct"/>
                    <w:hideMark/>
                  </w:tcPr>
                  <w:p w14:paraId="0E98B56B" w14:textId="3AB8B0E2" w:rsidR="00990DB6" w:rsidRDefault="00990DB6">
                    <w:pPr>
                      <w:pStyle w:val="Bibliography"/>
                      <w:rPr>
                        <w:noProof/>
                      </w:rPr>
                    </w:pPr>
                    <w:r>
                      <w:rPr>
                        <w:noProof/>
                      </w:rPr>
                      <w:t xml:space="preserve">C. Carroll, A. Booth and K. Cooper, </w:t>
                    </w:r>
                    <w:r w:rsidR="00B0643C">
                      <w:rPr>
                        <w:noProof/>
                      </w:rPr>
                      <w:t>“</w:t>
                    </w:r>
                    <w:r>
                      <w:rPr>
                        <w:noProof/>
                      </w:rPr>
                      <w:t xml:space="preserve">A worked example of </w:t>
                    </w:r>
                    <w:r w:rsidR="00B0643C">
                      <w:rPr>
                        <w:noProof/>
                      </w:rPr>
                      <w:t>“</w:t>
                    </w:r>
                    <w:r>
                      <w:rPr>
                        <w:noProof/>
                      </w:rPr>
                      <w:t>best-fit</w:t>
                    </w:r>
                    <w:r w:rsidR="00B0643C">
                      <w:rPr>
                        <w:noProof/>
                      </w:rPr>
                      <w:t>”</w:t>
                    </w:r>
                    <w:r>
                      <w:rPr>
                        <w:noProof/>
                      </w:rPr>
                      <w:t xml:space="preserve"> framework synthesis: a systematic review of views concerning the taking of potential chemopreventive agents.,</w:t>
                    </w:r>
                    <w:r w:rsidR="00B0643C">
                      <w:rPr>
                        <w:noProof/>
                      </w:rPr>
                      <w:t>”</w:t>
                    </w:r>
                    <w:r>
                      <w:rPr>
                        <w:noProof/>
                      </w:rPr>
                      <w:t xml:space="preserve"> </w:t>
                    </w:r>
                    <w:r>
                      <w:rPr>
                        <w:i/>
                        <w:iCs/>
                        <w:noProof/>
                      </w:rPr>
                      <w:t xml:space="preserve">BMC Med Res Methodol. , </w:t>
                    </w:r>
                    <w:r>
                      <w:rPr>
                        <w:noProof/>
                      </w:rPr>
                      <w:t xml:space="preserve">vol. 11, no. 29, 2011. </w:t>
                    </w:r>
                  </w:p>
                </w:tc>
              </w:tr>
              <w:tr w:rsidR="00990DB6" w14:paraId="0B512307" w14:textId="77777777" w:rsidTr="00A11F28">
                <w:trPr>
                  <w:divId w:val="687800326"/>
                  <w:tblCellSpacing w:w="15" w:type="dxa"/>
                </w:trPr>
                <w:tc>
                  <w:tcPr>
                    <w:tcW w:w="223" w:type="pct"/>
                    <w:hideMark/>
                  </w:tcPr>
                  <w:p w14:paraId="7971F48D" w14:textId="77777777" w:rsidR="00990DB6" w:rsidRDefault="00990DB6">
                    <w:pPr>
                      <w:pStyle w:val="Bibliography"/>
                      <w:rPr>
                        <w:noProof/>
                      </w:rPr>
                    </w:pPr>
                    <w:r>
                      <w:rPr>
                        <w:noProof/>
                      </w:rPr>
                      <w:t xml:space="preserve">[29] </w:t>
                    </w:r>
                  </w:p>
                </w:tc>
                <w:tc>
                  <w:tcPr>
                    <w:tcW w:w="4728" w:type="pct"/>
                    <w:hideMark/>
                  </w:tcPr>
                  <w:p w14:paraId="23BFACB3" w14:textId="3C7BF0B3" w:rsidR="00990DB6" w:rsidRDefault="00990DB6">
                    <w:pPr>
                      <w:pStyle w:val="Bibliography"/>
                      <w:rPr>
                        <w:noProof/>
                      </w:rPr>
                    </w:pPr>
                    <w:r>
                      <w:rPr>
                        <w:noProof/>
                      </w:rPr>
                      <w:t>G. Brunton, S. Oliver, K. Oliver and T. Lorenc, A Synthesis of Research Addressing Children</w:t>
                    </w:r>
                    <w:r w:rsidR="00B0643C">
                      <w:rPr>
                        <w:noProof/>
                      </w:rPr>
                      <w:t>’</w:t>
                    </w:r>
                    <w:r>
                      <w:rPr>
                        <w:noProof/>
                      </w:rPr>
                      <w:t>s, Young People</w:t>
                    </w:r>
                    <w:r w:rsidR="00B0643C">
                      <w:rPr>
                        <w:noProof/>
                      </w:rPr>
                      <w:t>’</w:t>
                    </w:r>
                    <w:r>
                      <w:rPr>
                        <w:noProof/>
                      </w:rPr>
                      <w:t>s and Parents</w:t>
                    </w:r>
                    <w:r w:rsidR="00B0643C">
                      <w:rPr>
                        <w:noProof/>
                      </w:rPr>
                      <w:t>’</w:t>
                    </w:r>
                    <w:r>
                      <w:rPr>
                        <w:noProof/>
                      </w:rPr>
                      <w:t xml:space="preserve"> Views of Walking and Cycling for Transport., London: EPPI-Centre, Social Science Research Unit, Institute of Education,, 2006. </w:t>
                    </w:r>
                  </w:p>
                </w:tc>
              </w:tr>
            </w:tbl>
            <w:p w14:paraId="42B96868" w14:textId="77777777" w:rsidR="00990DB6" w:rsidRDefault="00990DB6">
              <w:pPr>
                <w:divId w:val="687800326"/>
                <w:rPr>
                  <w:rFonts w:eastAsia="Times New Roman"/>
                  <w:noProof/>
                </w:rPr>
              </w:pPr>
            </w:p>
            <w:p w14:paraId="3190AD79" w14:textId="5AF7D9E0" w:rsidR="00990DB6" w:rsidRDefault="00990DB6">
              <w:r>
                <w:rPr>
                  <w:b/>
                  <w:bCs/>
                  <w:noProof/>
                </w:rPr>
                <w:fldChar w:fldCharType="end"/>
              </w:r>
            </w:p>
          </w:sdtContent>
        </w:sdt>
      </w:sdtContent>
    </w:sdt>
    <w:p w14:paraId="411300E7" w14:textId="1116749D" w:rsidR="00990DB6" w:rsidRDefault="00990DB6" w:rsidP="00F16257">
      <w:pPr>
        <w:widowControl w:val="0"/>
        <w:spacing w:before="180"/>
        <w:jc w:val="both"/>
        <w:rPr>
          <w:rFonts w:asciiTheme="majorHAnsi" w:hAnsiTheme="majorHAnsi" w:cstheme="majorHAnsi"/>
        </w:rPr>
      </w:pPr>
    </w:p>
    <w:p w14:paraId="25846495" w14:textId="63136EC9" w:rsidR="00990DB6" w:rsidRDefault="00990DB6" w:rsidP="00F16257">
      <w:pPr>
        <w:widowControl w:val="0"/>
        <w:spacing w:before="180"/>
        <w:jc w:val="both"/>
        <w:rPr>
          <w:rFonts w:asciiTheme="majorHAnsi" w:hAnsiTheme="majorHAnsi" w:cstheme="majorHAnsi"/>
        </w:rPr>
      </w:pPr>
    </w:p>
    <w:p w14:paraId="5C6E7918" w14:textId="2BE0860C" w:rsidR="009A1F30" w:rsidRPr="00515CF0" w:rsidRDefault="009A1F30" w:rsidP="00B903BE">
      <w:pPr>
        <w:jc w:val="both"/>
        <w:rPr>
          <w:rFonts w:asciiTheme="majorHAnsi" w:hAnsiTheme="majorHAnsi" w:cstheme="majorHAnsi"/>
          <w:b/>
          <w:sz w:val="36"/>
        </w:rPr>
      </w:pPr>
    </w:p>
    <w:sectPr w:rsidR="009A1F30" w:rsidRPr="00515CF0" w:rsidSect="00947679">
      <w:headerReference w:type="default" r:id="rId9"/>
      <w:footerReference w:type="even" r:id="rId10"/>
      <w:footerReference w:type="default" r:id="rId11"/>
      <w:endnotePr>
        <w:numFmt w:val="decimal"/>
      </w:endnotePr>
      <w:pgSz w:w="11909" w:h="16834" w:code="9"/>
      <w:pgMar w:top="1440" w:right="1411" w:bottom="1267"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166A0" w14:textId="77777777" w:rsidR="002A43AD" w:rsidRDefault="002A43AD">
      <w:r>
        <w:separator/>
      </w:r>
    </w:p>
  </w:endnote>
  <w:endnote w:type="continuationSeparator" w:id="0">
    <w:p w14:paraId="1A28916D" w14:textId="77777777" w:rsidR="002A43AD" w:rsidRDefault="002A4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mp;G_Liter">
    <w:altName w:val="Times New Roman"/>
    <w:charset w:val="00"/>
    <w:family w:val="auto"/>
    <w:pitch w:val="variable"/>
    <w:sig w:usb0="00000003" w:usb1="00000000" w:usb2="00000000" w:usb3="00000000" w:csb0="00000001" w:csb1="00000000"/>
  </w:font>
  <w:font w:name="Palatino">
    <w:altName w:val="Segoe UI Historic"/>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cadMtavr">
    <w:panose1 w:val="00000000000000000000"/>
    <w:charset w:val="00"/>
    <w:family w:val="auto"/>
    <w:pitch w:val="variable"/>
    <w:sig w:usb0="00000087" w:usb1="00000000" w:usb2="00000000" w:usb3="00000000" w:csb0="0000001B" w:csb1="00000000"/>
  </w:font>
  <w:font w:name="Copperplate Gothic Bold">
    <w:panose1 w:val="020E0705020206020404"/>
    <w:charset w:val="00"/>
    <w:family w:val="swiss"/>
    <w:pitch w:val="variable"/>
    <w:sig w:usb0="00000003" w:usb1="00000000" w:usb2="00000000" w:usb3="00000000" w:csb0="00000001" w:csb1="00000000"/>
  </w:font>
  <w:font w:name="Grigolia">
    <w:charset w:val="00"/>
    <w:family w:val="auto"/>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Lucida Grande">
    <w:altName w:val="Segoe UI"/>
    <w:charset w:val="00"/>
    <w:family w:val="auto"/>
    <w:pitch w:val="variable"/>
    <w:sig w:usb0="00000000" w:usb1="5000A1FF" w:usb2="00000000" w:usb3="00000000" w:csb0="000001B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70F96" w14:textId="77777777" w:rsidR="00DD04DB" w:rsidRDefault="00DD04DB" w:rsidP="00127A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2DBBDF" w14:textId="77777777" w:rsidR="00DD04DB" w:rsidRDefault="00DD04DB" w:rsidP="00127A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58656" w14:textId="77777777" w:rsidR="00DD04DB" w:rsidRDefault="00DD04DB" w:rsidP="00127A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43</w:t>
    </w:r>
    <w:r>
      <w:rPr>
        <w:rStyle w:val="PageNumber"/>
      </w:rPr>
      <w:fldChar w:fldCharType="end"/>
    </w:r>
  </w:p>
  <w:p w14:paraId="2A3F993D" w14:textId="77777777" w:rsidR="00DD04DB" w:rsidRDefault="00DD04DB" w:rsidP="00127A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96B24" w14:textId="77777777" w:rsidR="002A43AD" w:rsidRDefault="002A43AD">
      <w:r>
        <w:separator/>
      </w:r>
    </w:p>
  </w:footnote>
  <w:footnote w:type="continuationSeparator" w:id="0">
    <w:p w14:paraId="29E07B1D" w14:textId="77777777" w:rsidR="002A43AD" w:rsidRDefault="002A4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9B8" w14:textId="6A4BD5C7" w:rsidR="00DD04DB" w:rsidRDefault="00DD04DB">
    <w:pPr>
      <w:pStyle w:val="Header"/>
    </w:pPr>
    <w:r>
      <w:t>Georgia Case Study Protocol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11099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4F6AA7"/>
    <w:multiLevelType w:val="hybridMultilevel"/>
    <w:tmpl w:val="169A5D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AB0965"/>
    <w:multiLevelType w:val="hybridMultilevel"/>
    <w:tmpl w:val="4A2E35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806E71"/>
    <w:multiLevelType w:val="hybridMultilevel"/>
    <w:tmpl w:val="45148C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717BDE"/>
    <w:multiLevelType w:val="hybridMultilevel"/>
    <w:tmpl w:val="700AA8E0"/>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54773"/>
    <w:multiLevelType w:val="hybridMultilevel"/>
    <w:tmpl w:val="10FC18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385125A"/>
    <w:multiLevelType w:val="hybridMultilevel"/>
    <w:tmpl w:val="5D10C824"/>
    <w:lvl w:ilvl="0" w:tplc="D63435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0E3E27"/>
    <w:multiLevelType w:val="hybridMultilevel"/>
    <w:tmpl w:val="88CA5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D44D70"/>
    <w:multiLevelType w:val="hybridMultilevel"/>
    <w:tmpl w:val="0E0C2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A03A26"/>
    <w:multiLevelType w:val="hybridMultilevel"/>
    <w:tmpl w:val="25DCEBF4"/>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00944"/>
    <w:multiLevelType w:val="hybridMultilevel"/>
    <w:tmpl w:val="70F4BB7E"/>
    <w:lvl w:ilvl="0" w:tplc="04190005">
      <w:start w:val="1"/>
      <w:numFmt w:val="bullet"/>
      <w:lvlText w:val=""/>
      <w:lvlJc w:val="left"/>
      <w:pPr>
        <w:tabs>
          <w:tab w:val="num" w:pos="784"/>
        </w:tabs>
        <w:ind w:left="784" w:hanging="360"/>
      </w:pPr>
      <w:rPr>
        <w:rFonts w:ascii="Wingdings" w:hAnsi="Wingdings" w:hint="default"/>
      </w:rPr>
    </w:lvl>
    <w:lvl w:ilvl="1" w:tplc="04190003" w:tentative="1">
      <w:start w:val="1"/>
      <w:numFmt w:val="bullet"/>
      <w:lvlText w:val="o"/>
      <w:lvlJc w:val="left"/>
      <w:pPr>
        <w:tabs>
          <w:tab w:val="num" w:pos="1504"/>
        </w:tabs>
        <w:ind w:left="1504" w:hanging="360"/>
      </w:pPr>
      <w:rPr>
        <w:rFonts w:ascii="Courier New" w:hAnsi="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12" w15:restartNumberingAfterBreak="0">
    <w:nsid w:val="236628F0"/>
    <w:multiLevelType w:val="hybridMultilevel"/>
    <w:tmpl w:val="85D0FB9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7BD3187"/>
    <w:multiLevelType w:val="hybridMultilevel"/>
    <w:tmpl w:val="EDF46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85588C"/>
    <w:multiLevelType w:val="hybridMultilevel"/>
    <w:tmpl w:val="748A3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7851F8"/>
    <w:multiLevelType w:val="hybridMultilevel"/>
    <w:tmpl w:val="AD9C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1F30663"/>
    <w:multiLevelType w:val="hybridMultilevel"/>
    <w:tmpl w:val="6CD811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873AD"/>
    <w:multiLevelType w:val="hybridMultilevel"/>
    <w:tmpl w:val="028E6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FF72AF"/>
    <w:multiLevelType w:val="hybridMultilevel"/>
    <w:tmpl w:val="A67C8D42"/>
    <w:lvl w:ilvl="0" w:tplc="FF88B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AF7F48"/>
    <w:multiLevelType w:val="hybridMultilevel"/>
    <w:tmpl w:val="3BFC8448"/>
    <w:lvl w:ilvl="0" w:tplc="52D422A2">
      <w:start w:val="1"/>
      <w:numFmt w:val="decimal"/>
      <w:lvlText w:val="%1."/>
      <w:lvlJc w:val="left"/>
      <w:pPr>
        <w:tabs>
          <w:tab w:val="num" w:pos="786"/>
        </w:tabs>
        <w:ind w:left="786" w:hanging="360"/>
      </w:pPr>
      <w:rPr>
        <w:b/>
        <w:i w:val="0"/>
        <w:color w:val="auto"/>
        <w:sz w:val="22"/>
        <w:szCs w:val="22"/>
      </w:rPr>
    </w:lvl>
    <w:lvl w:ilvl="1" w:tplc="280A647A">
      <w:start w:val="1"/>
      <w:numFmt w:val="bullet"/>
      <w:lvlText w:val=""/>
      <w:lvlJc w:val="left"/>
      <w:pPr>
        <w:tabs>
          <w:tab w:val="num" w:pos="1440"/>
        </w:tabs>
        <w:ind w:left="1440" w:hanging="360"/>
      </w:pPr>
      <w:rPr>
        <w:rFonts w:ascii="Symbol" w:hAnsi="Symbol"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32189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4A501A3C"/>
    <w:multiLevelType w:val="hybridMultilevel"/>
    <w:tmpl w:val="3138BE72"/>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4B3F6918"/>
    <w:multiLevelType w:val="hybridMultilevel"/>
    <w:tmpl w:val="993E8D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C3A0155"/>
    <w:multiLevelType w:val="hybridMultilevel"/>
    <w:tmpl w:val="9068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2A10FC"/>
    <w:multiLevelType w:val="hybridMultilevel"/>
    <w:tmpl w:val="7110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59086E"/>
    <w:multiLevelType w:val="hybridMultilevel"/>
    <w:tmpl w:val="4F0E3614"/>
    <w:lvl w:ilvl="0" w:tplc="04090001">
      <w:start w:val="1"/>
      <w:numFmt w:val="bullet"/>
      <w:lvlText w:val=""/>
      <w:lvlJc w:val="left"/>
      <w:pPr>
        <w:ind w:left="720" w:hanging="360"/>
      </w:pPr>
      <w:rPr>
        <w:rFonts w:ascii="Symbol" w:hAnsi="Symbol" w:hint="default"/>
      </w:rPr>
    </w:lvl>
    <w:lvl w:ilvl="1" w:tplc="B060F97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E4381A"/>
    <w:multiLevelType w:val="hybridMultilevel"/>
    <w:tmpl w:val="EF565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676EB"/>
    <w:multiLevelType w:val="hybridMultilevel"/>
    <w:tmpl w:val="6960F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DE2BBD"/>
    <w:multiLevelType w:val="hybridMultilevel"/>
    <w:tmpl w:val="7E3C688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BB2AFF"/>
    <w:multiLevelType w:val="hybridMultilevel"/>
    <w:tmpl w:val="6D6EA7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717BAD"/>
    <w:multiLevelType w:val="hybridMultilevel"/>
    <w:tmpl w:val="14182050"/>
    <w:lvl w:ilvl="0" w:tplc="E1C4AE16">
      <w:start w:val="1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4E354A"/>
    <w:multiLevelType w:val="hybridMultilevel"/>
    <w:tmpl w:val="4C16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DB3146"/>
    <w:multiLevelType w:val="hybridMultilevel"/>
    <w:tmpl w:val="EE1E96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9277B1"/>
    <w:multiLevelType w:val="hybridMultilevel"/>
    <w:tmpl w:val="3776F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B6403C"/>
    <w:multiLevelType w:val="hybridMultilevel"/>
    <w:tmpl w:val="00D0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761408"/>
    <w:multiLevelType w:val="hybridMultilevel"/>
    <w:tmpl w:val="2C0E5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3107723"/>
    <w:multiLevelType w:val="hybridMultilevel"/>
    <w:tmpl w:val="F7A0531E"/>
    <w:lvl w:ilvl="0" w:tplc="1EC4A772">
      <w:start w:val="1"/>
      <w:numFmt w:val="decimal"/>
      <w:pStyle w:val="grigolianum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3444E00"/>
    <w:multiLevelType w:val="hybridMultilevel"/>
    <w:tmpl w:val="20A4B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0A4F95"/>
    <w:multiLevelType w:val="hybridMultilevel"/>
    <w:tmpl w:val="A710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C62E7F"/>
    <w:multiLevelType w:val="hybridMultilevel"/>
    <w:tmpl w:val="DAE6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7B5773"/>
    <w:multiLevelType w:val="hybridMultilevel"/>
    <w:tmpl w:val="A942D26E"/>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3719D6"/>
    <w:multiLevelType w:val="hybridMultilevel"/>
    <w:tmpl w:val="A8EE2382"/>
    <w:lvl w:ilvl="0" w:tplc="856E46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5"/>
  </w:num>
  <w:num w:numId="3">
    <w:abstractNumId w:val="7"/>
  </w:num>
  <w:num w:numId="4">
    <w:abstractNumId w:val="11"/>
  </w:num>
  <w:num w:numId="5">
    <w:abstractNumId w:val="28"/>
  </w:num>
  <w:num w:numId="6">
    <w:abstractNumId w:val="17"/>
  </w:num>
  <w:num w:numId="7">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8">
    <w:abstractNumId w:val="9"/>
  </w:num>
  <w:num w:numId="9">
    <w:abstractNumId w:val="20"/>
  </w:num>
  <w:num w:numId="10">
    <w:abstractNumId w:val="36"/>
  </w:num>
  <w:num w:numId="11">
    <w:abstractNumId w:val="1"/>
    <w:lvlOverride w:ilvl="0">
      <w:lvl w:ilvl="0">
        <w:numFmt w:val="bullet"/>
        <w:lvlText w:val=""/>
        <w:legacy w:legacy="1" w:legacySpace="0" w:legacyIndent="360"/>
        <w:lvlJc w:val="left"/>
        <w:pPr>
          <w:ind w:left="0" w:hanging="360"/>
        </w:pPr>
        <w:rPr>
          <w:rFonts w:ascii="Symbol" w:hAnsi="Symbol" w:hint="default"/>
        </w:rPr>
      </w:lvl>
    </w:lvlOverride>
  </w:num>
  <w:num w:numId="12">
    <w:abstractNumId w:val="4"/>
  </w:num>
  <w:num w:numId="13">
    <w:abstractNumId w:val="29"/>
  </w:num>
  <w:num w:numId="14">
    <w:abstractNumId w:val="3"/>
  </w:num>
  <w:num w:numId="15">
    <w:abstractNumId w:val="15"/>
  </w:num>
  <w:num w:numId="16">
    <w:abstractNumId w:val="21"/>
  </w:num>
  <w:num w:numId="17">
    <w:abstractNumId w:val="32"/>
  </w:num>
  <w:num w:numId="18">
    <w:abstractNumId w:val="10"/>
  </w:num>
  <w:num w:numId="19">
    <w:abstractNumId w:val="40"/>
  </w:num>
  <w:num w:numId="20">
    <w:abstractNumId w:val="33"/>
  </w:num>
  <w:num w:numId="21">
    <w:abstractNumId w:val="39"/>
  </w:num>
  <w:num w:numId="22">
    <w:abstractNumId w:val="23"/>
  </w:num>
  <w:num w:numId="23">
    <w:abstractNumId w:val="24"/>
  </w:num>
  <w:num w:numId="24">
    <w:abstractNumId w:val="26"/>
  </w:num>
  <w:num w:numId="25">
    <w:abstractNumId w:val="31"/>
  </w:num>
  <w:num w:numId="26">
    <w:abstractNumId w:val="8"/>
  </w:num>
  <w:num w:numId="27">
    <w:abstractNumId w:val="37"/>
  </w:num>
  <w:num w:numId="28">
    <w:abstractNumId w:val="12"/>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16"/>
  </w:num>
  <w:num w:numId="33">
    <w:abstractNumId w:val="34"/>
  </w:num>
  <w:num w:numId="34">
    <w:abstractNumId w:val="41"/>
  </w:num>
  <w:num w:numId="35">
    <w:abstractNumId w:val="18"/>
  </w:num>
  <w:num w:numId="36">
    <w:abstractNumId w:val="14"/>
  </w:num>
  <w:num w:numId="37">
    <w:abstractNumId w:val="19"/>
  </w:num>
  <w:num w:numId="38">
    <w:abstractNumId w:val="13"/>
  </w:num>
  <w:num w:numId="39">
    <w:abstractNumId w:val="25"/>
  </w:num>
  <w:num w:numId="40">
    <w:abstractNumId w:val="38"/>
  </w:num>
  <w:num w:numId="41">
    <w:abstractNumId w:val="27"/>
  </w:num>
  <w:num w:numId="42">
    <w:abstractNumId w:val="30"/>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94"/>
    <w:rsid w:val="000005E2"/>
    <w:rsid w:val="00001B1E"/>
    <w:rsid w:val="0000489C"/>
    <w:rsid w:val="00005DA8"/>
    <w:rsid w:val="00013C32"/>
    <w:rsid w:val="00014180"/>
    <w:rsid w:val="000141A5"/>
    <w:rsid w:val="00014472"/>
    <w:rsid w:val="00020479"/>
    <w:rsid w:val="00020620"/>
    <w:rsid w:val="000235A7"/>
    <w:rsid w:val="0002400C"/>
    <w:rsid w:val="000274F7"/>
    <w:rsid w:val="00027884"/>
    <w:rsid w:val="00031073"/>
    <w:rsid w:val="000319C9"/>
    <w:rsid w:val="000341BE"/>
    <w:rsid w:val="00041F82"/>
    <w:rsid w:val="0004648E"/>
    <w:rsid w:val="000474C9"/>
    <w:rsid w:val="000607E6"/>
    <w:rsid w:val="00061217"/>
    <w:rsid w:val="00063C02"/>
    <w:rsid w:val="0006504B"/>
    <w:rsid w:val="0006602F"/>
    <w:rsid w:val="00066B4F"/>
    <w:rsid w:val="00066B92"/>
    <w:rsid w:val="00067222"/>
    <w:rsid w:val="0006783F"/>
    <w:rsid w:val="000705AF"/>
    <w:rsid w:val="00070F89"/>
    <w:rsid w:val="000712D6"/>
    <w:rsid w:val="000732C8"/>
    <w:rsid w:val="00073BAD"/>
    <w:rsid w:val="0007712E"/>
    <w:rsid w:val="00077BCA"/>
    <w:rsid w:val="000810B9"/>
    <w:rsid w:val="00081DF2"/>
    <w:rsid w:val="000842DF"/>
    <w:rsid w:val="000873FD"/>
    <w:rsid w:val="0009331D"/>
    <w:rsid w:val="0009463D"/>
    <w:rsid w:val="00094E9A"/>
    <w:rsid w:val="00094F3D"/>
    <w:rsid w:val="00096373"/>
    <w:rsid w:val="000A12BA"/>
    <w:rsid w:val="000A6E91"/>
    <w:rsid w:val="000B1E6E"/>
    <w:rsid w:val="000B2976"/>
    <w:rsid w:val="000B3687"/>
    <w:rsid w:val="000B471F"/>
    <w:rsid w:val="000B5507"/>
    <w:rsid w:val="000B5E6E"/>
    <w:rsid w:val="000C0E29"/>
    <w:rsid w:val="000C4AAD"/>
    <w:rsid w:val="000C76A8"/>
    <w:rsid w:val="000D1879"/>
    <w:rsid w:val="000D39C6"/>
    <w:rsid w:val="000D4457"/>
    <w:rsid w:val="000D64D2"/>
    <w:rsid w:val="000E16EF"/>
    <w:rsid w:val="000E26F0"/>
    <w:rsid w:val="000E2CFE"/>
    <w:rsid w:val="000E4565"/>
    <w:rsid w:val="000E4569"/>
    <w:rsid w:val="000F1719"/>
    <w:rsid w:val="000F257B"/>
    <w:rsid w:val="000F398A"/>
    <w:rsid w:val="000F544D"/>
    <w:rsid w:val="000F7720"/>
    <w:rsid w:val="00100F18"/>
    <w:rsid w:val="00101AE4"/>
    <w:rsid w:val="00102815"/>
    <w:rsid w:val="00103436"/>
    <w:rsid w:val="0010363E"/>
    <w:rsid w:val="0010726E"/>
    <w:rsid w:val="00107E3B"/>
    <w:rsid w:val="00112453"/>
    <w:rsid w:val="0011649E"/>
    <w:rsid w:val="00116BA4"/>
    <w:rsid w:val="00117EF9"/>
    <w:rsid w:val="00122268"/>
    <w:rsid w:val="00127A71"/>
    <w:rsid w:val="001339F5"/>
    <w:rsid w:val="00135A86"/>
    <w:rsid w:val="00140F5B"/>
    <w:rsid w:val="00141214"/>
    <w:rsid w:val="00141534"/>
    <w:rsid w:val="001419F9"/>
    <w:rsid w:val="00145422"/>
    <w:rsid w:val="00146172"/>
    <w:rsid w:val="00146213"/>
    <w:rsid w:val="00147144"/>
    <w:rsid w:val="0015315D"/>
    <w:rsid w:val="00153F7D"/>
    <w:rsid w:val="001573B2"/>
    <w:rsid w:val="00157E90"/>
    <w:rsid w:val="00161989"/>
    <w:rsid w:val="00161A0C"/>
    <w:rsid w:val="00161A46"/>
    <w:rsid w:val="001628DC"/>
    <w:rsid w:val="00163F06"/>
    <w:rsid w:val="001668F8"/>
    <w:rsid w:val="0016704F"/>
    <w:rsid w:val="00167AC8"/>
    <w:rsid w:val="00170CEB"/>
    <w:rsid w:val="00174792"/>
    <w:rsid w:val="00174884"/>
    <w:rsid w:val="001766B2"/>
    <w:rsid w:val="00176D2F"/>
    <w:rsid w:val="001774FC"/>
    <w:rsid w:val="001801E4"/>
    <w:rsid w:val="00186D00"/>
    <w:rsid w:val="00190C8D"/>
    <w:rsid w:val="00194C1E"/>
    <w:rsid w:val="0019583E"/>
    <w:rsid w:val="00197AA5"/>
    <w:rsid w:val="001A46FA"/>
    <w:rsid w:val="001A4CCD"/>
    <w:rsid w:val="001A7816"/>
    <w:rsid w:val="001A7CDB"/>
    <w:rsid w:val="001B0896"/>
    <w:rsid w:val="001B2184"/>
    <w:rsid w:val="001B3EC9"/>
    <w:rsid w:val="001B4FBD"/>
    <w:rsid w:val="001B5BF5"/>
    <w:rsid w:val="001C070A"/>
    <w:rsid w:val="001C34F7"/>
    <w:rsid w:val="001C3D52"/>
    <w:rsid w:val="001C4940"/>
    <w:rsid w:val="001C686E"/>
    <w:rsid w:val="001C6EE0"/>
    <w:rsid w:val="001D0090"/>
    <w:rsid w:val="001D2D62"/>
    <w:rsid w:val="001D3731"/>
    <w:rsid w:val="001D4EA9"/>
    <w:rsid w:val="001D55EE"/>
    <w:rsid w:val="001D5CE9"/>
    <w:rsid w:val="001D6C0D"/>
    <w:rsid w:val="001E39EB"/>
    <w:rsid w:val="001E669F"/>
    <w:rsid w:val="001F141E"/>
    <w:rsid w:val="001F1627"/>
    <w:rsid w:val="001F1DB2"/>
    <w:rsid w:val="001F2856"/>
    <w:rsid w:val="001F29BF"/>
    <w:rsid w:val="001F2BB5"/>
    <w:rsid w:val="001F4E03"/>
    <w:rsid w:val="001F6C88"/>
    <w:rsid w:val="001F6DBF"/>
    <w:rsid w:val="00201BAD"/>
    <w:rsid w:val="00204A0A"/>
    <w:rsid w:val="00205943"/>
    <w:rsid w:val="0020628E"/>
    <w:rsid w:val="00211673"/>
    <w:rsid w:val="00212184"/>
    <w:rsid w:val="00212ED0"/>
    <w:rsid w:val="0021352B"/>
    <w:rsid w:val="00230792"/>
    <w:rsid w:val="00242C41"/>
    <w:rsid w:val="0025035A"/>
    <w:rsid w:val="00252A9B"/>
    <w:rsid w:val="0025302A"/>
    <w:rsid w:val="00253F6C"/>
    <w:rsid w:val="00254ACD"/>
    <w:rsid w:val="002555D9"/>
    <w:rsid w:val="0025714F"/>
    <w:rsid w:val="002579D1"/>
    <w:rsid w:val="00260933"/>
    <w:rsid w:val="0026114B"/>
    <w:rsid w:val="00261242"/>
    <w:rsid w:val="002626C4"/>
    <w:rsid w:val="00262CD6"/>
    <w:rsid w:val="00263F0F"/>
    <w:rsid w:val="002666F3"/>
    <w:rsid w:val="00271452"/>
    <w:rsid w:val="002725AA"/>
    <w:rsid w:val="002776B0"/>
    <w:rsid w:val="00280150"/>
    <w:rsid w:val="00280B11"/>
    <w:rsid w:val="00281850"/>
    <w:rsid w:val="00281D61"/>
    <w:rsid w:val="0029371C"/>
    <w:rsid w:val="00297F47"/>
    <w:rsid w:val="002A0D43"/>
    <w:rsid w:val="002A226A"/>
    <w:rsid w:val="002A43AD"/>
    <w:rsid w:val="002A621C"/>
    <w:rsid w:val="002A7F6E"/>
    <w:rsid w:val="002B05A0"/>
    <w:rsid w:val="002B2478"/>
    <w:rsid w:val="002B3527"/>
    <w:rsid w:val="002B6051"/>
    <w:rsid w:val="002C1F4A"/>
    <w:rsid w:val="002C213D"/>
    <w:rsid w:val="002C3541"/>
    <w:rsid w:val="002C36BA"/>
    <w:rsid w:val="002C4D15"/>
    <w:rsid w:val="002D01CE"/>
    <w:rsid w:val="002D0FFD"/>
    <w:rsid w:val="002D6C53"/>
    <w:rsid w:val="002D7B38"/>
    <w:rsid w:val="002E01A9"/>
    <w:rsid w:val="002E48F8"/>
    <w:rsid w:val="002E7969"/>
    <w:rsid w:val="002F00C4"/>
    <w:rsid w:val="002F2F26"/>
    <w:rsid w:val="002F305A"/>
    <w:rsid w:val="002F3890"/>
    <w:rsid w:val="00300D4E"/>
    <w:rsid w:val="003018B0"/>
    <w:rsid w:val="003026EC"/>
    <w:rsid w:val="00303264"/>
    <w:rsid w:val="00303912"/>
    <w:rsid w:val="00305506"/>
    <w:rsid w:val="0030628E"/>
    <w:rsid w:val="0030751F"/>
    <w:rsid w:val="003140C8"/>
    <w:rsid w:val="0031573F"/>
    <w:rsid w:val="00317887"/>
    <w:rsid w:val="00317D9D"/>
    <w:rsid w:val="00320B4B"/>
    <w:rsid w:val="00320C48"/>
    <w:rsid w:val="00320C79"/>
    <w:rsid w:val="00320E33"/>
    <w:rsid w:val="00325C63"/>
    <w:rsid w:val="00327A2F"/>
    <w:rsid w:val="0033339A"/>
    <w:rsid w:val="0033550C"/>
    <w:rsid w:val="0034077C"/>
    <w:rsid w:val="00340C18"/>
    <w:rsid w:val="003410D4"/>
    <w:rsid w:val="00341BF3"/>
    <w:rsid w:val="003473B2"/>
    <w:rsid w:val="00350E38"/>
    <w:rsid w:val="00351D8C"/>
    <w:rsid w:val="00352479"/>
    <w:rsid w:val="00353A2F"/>
    <w:rsid w:val="00353DFB"/>
    <w:rsid w:val="003564AB"/>
    <w:rsid w:val="003568A0"/>
    <w:rsid w:val="003600B5"/>
    <w:rsid w:val="0036218E"/>
    <w:rsid w:val="003628D6"/>
    <w:rsid w:val="00364FFE"/>
    <w:rsid w:val="00366FAE"/>
    <w:rsid w:val="00367811"/>
    <w:rsid w:val="00370AA2"/>
    <w:rsid w:val="003714B0"/>
    <w:rsid w:val="00372475"/>
    <w:rsid w:val="00374D9F"/>
    <w:rsid w:val="00375037"/>
    <w:rsid w:val="003753DA"/>
    <w:rsid w:val="0037704B"/>
    <w:rsid w:val="00377C82"/>
    <w:rsid w:val="00384510"/>
    <w:rsid w:val="003855E6"/>
    <w:rsid w:val="00394321"/>
    <w:rsid w:val="00395BC8"/>
    <w:rsid w:val="0039699E"/>
    <w:rsid w:val="003A0D3F"/>
    <w:rsid w:val="003B0820"/>
    <w:rsid w:val="003B0DD3"/>
    <w:rsid w:val="003B1975"/>
    <w:rsid w:val="003B4C32"/>
    <w:rsid w:val="003B5064"/>
    <w:rsid w:val="003B74C8"/>
    <w:rsid w:val="003C0D0F"/>
    <w:rsid w:val="003C56EA"/>
    <w:rsid w:val="003D0201"/>
    <w:rsid w:val="003D0A95"/>
    <w:rsid w:val="003D0CE6"/>
    <w:rsid w:val="003D0F6B"/>
    <w:rsid w:val="003D3EE5"/>
    <w:rsid w:val="003D4EBD"/>
    <w:rsid w:val="003E1871"/>
    <w:rsid w:val="003E2E7A"/>
    <w:rsid w:val="003E534E"/>
    <w:rsid w:val="003F06D6"/>
    <w:rsid w:val="003F3296"/>
    <w:rsid w:val="003F3E49"/>
    <w:rsid w:val="003F4329"/>
    <w:rsid w:val="003F4F89"/>
    <w:rsid w:val="003F616B"/>
    <w:rsid w:val="003F7A81"/>
    <w:rsid w:val="00401085"/>
    <w:rsid w:val="00401C8D"/>
    <w:rsid w:val="004027D1"/>
    <w:rsid w:val="00402D6C"/>
    <w:rsid w:val="00404A16"/>
    <w:rsid w:val="00416F80"/>
    <w:rsid w:val="00420013"/>
    <w:rsid w:val="0042078B"/>
    <w:rsid w:val="0042161C"/>
    <w:rsid w:val="004248FB"/>
    <w:rsid w:val="00424CF8"/>
    <w:rsid w:val="00431E20"/>
    <w:rsid w:val="00432637"/>
    <w:rsid w:val="00435504"/>
    <w:rsid w:val="00435DEC"/>
    <w:rsid w:val="00435E9B"/>
    <w:rsid w:val="00441FE9"/>
    <w:rsid w:val="00446121"/>
    <w:rsid w:val="00450301"/>
    <w:rsid w:val="004505E4"/>
    <w:rsid w:val="00454DA3"/>
    <w:rsid w:val="004552BC"/>
    <w:rsid w:val="00456CB4"/>
    <w:rsid w:val="00456CD8"/>
    <w:rsid w:val="00461FBA"/>
    <w:rsid w:val="00464A27"/>
    <w:rsid w:val="00464D0E"/>
    <w:rsid w:val="00465FE6"/>
    <w:rsid w:val="00467E21"/>
    <w:rsid w:val="0047045B"/>
    <w:rsid w:val="00475037"/>
    <w:rsid w:val="00475D99"/>
    <w:rsid w:val="00476334"/>
    <w:rsid w:val="004776C6"/>
    <w:rsid w:val="004812B5"/>
    <w:rsid w:val="004824C2"/>
    <w:rsid w:val="0048415D"/>
    <w:rsid w:val="00484408"/>
    <w:rsid w:val="00484E3B"/>
    <w:rsid w:val="0048654A"/>
    <w:rsid w:val="0049047B"/>
    <w:rsid w:val="004906B0"/>
    <w:rsid w:val="0049102D"/>
    <w:rsid w:val="00491094"/>
    <w:rsid w:val="004913D2"/>
    <w:rsid w:val="00492D8E"/>
    <w:rsid w:val="00497BE7"/>
    <w:rsid w:val="00497FBA"/>
    <w:rsid w:val="004A2087"/>
    <w:rsid w:val="004A2C51"/>
    <w:rsid w:val="004A3065"/>
    <w:rsid w:val="004A35ED"/>
    <w:rsid w:val="004A5554"/>
    <w:rsid w:val="004A6E53"/>
    <w:rsid w:val="004A700B"/>
    <w:rsid w:val="004B28A8"/>
    <w:rsid w:val="004B3A12"/>
    <w:rsid w:val="004C0F15"/>
    <w:rsid w:val="004D05ED"/>
    <w:rsid w:val="004D479B"/>
    <w:rsid w:val="004D6C02"/>
    <w:rsid w:val="004E104E"/>
    <w:rsid w:val="004E254D"/>
    <w:rsid w:val="004E2841"/>
    <w:rsid w:val="004E3176"/>
    <w:rsid w:val="004E5662"/>
    <w:rsid w:val="004F040E"/>
    <w:rsid w:val="004F1659"/>
    <w:rsid w:val="004F1D8E"/>
    <w:rsid w:val="004F308A"/>
    <w:rsid w:val="004F65C2"/>
    <w:rsid w:val="004F6E5B"/>
    <w:rsid w:val="00502C2C"/>
    <w:rsid w:val="00505E88"/>
    <w:rsid w:val="0050785A"/>
    <w:rsid w:val="00511CDA"/>
    <w:rsid w:val="0051514D"/>
    <w:rsid w:val="00515CF0"/>
    <w:rsid w:val="0051667D"/>
    <w:rsid w:val="0051769F"/>
    <w:rsid w:val="00517B2A"/>
    <w:rsid w:val="00523369"/>
    <w:rsid w:val="00525D89"/>
    <w:rsid w:val="00527272"/>
    <w:rsid w:val="005272A5"/>
    <w:rsid w:val="0052775C"/>
    <w:rsid w:val="00531A20"/>
    <w:rsid w:val="005352B7"/>
    <w:rsid w:val="00537C83"/>
    <w:rsid w:val="00541755"/>
    <w:rsid w:val="00543186"/>
    <w:rsid w:val="00545883"/>
    <w:rsid w:val="00545E33"/>
    <w:rsid w:val="00546171"/>
    <w:rsid w:val="00550625"/>
    <w:rsid w:val="0055071D"/>
    <w:rsid w:val="005515CC"/>
    <w:rsid w:val="00553E3E"/>
    <w:rsid w:val="00554198"/>
    <w:rsid w:val="005554F5"/>
    <w:rsid w:val="0056537C"/>
    <w:rsid w:val="00570931"/>
    <w:rsid w:val="00571D1A"/>
    <w:rsid w:val="005728A4"/>
    <w:rsid w:val="00575B01"/>
    <w:rsid w:val="00581139"/>
    <w:rsid w:val="005814D3"/>
    <w:rsid w:val="0058193C"/>
    <w:rsid w:val="005823E6"/>
    <w:rsid w:val="00585BD1"/>
    <w:rsid w:val="00591F40"/>
    <w:rsid w:val="0059244E"/>
    <w:rsid w:val="005925B8"/>
    <w:rsid w:val="00593423"/>
    <w:rsid w:val="00597002"/>
    <w:rsid w:val="00597A38"/>
    <w:rsid w:val="00597AAC"/>
    <w:rsid w:val="005A4C70"/>
    <w:rsid w:val="005B18E5"/>
    <w:rsid w:val="005B30B9"/>
    <w:rsid w:val="005B56DB"/>
    <w:rsid w:val="005B6D0F"/>
    <w:rsid w:val="005B735E"/>
    <w:rsid w:val="005C1521"/>
    <w:rsid w:val="005C1D4C"/>
    <w:rsid w:val="005C21D1"/>
    <w:rsid w:val="005C2823"/>
    <w:rsid w:val="005D0219"/>
    <w:rsid w:val="005D1A1E"/>
    <w:rsid w:val="005D5244"/>
    <w:rsid w:val="005D5D73"/>
    <w:rsid w:val="005E1920"/>
    <w:rsid w:val="005E4F90"/>
    <w:rsid w:val="005F1FDE"/>
    <w:rsid w:val="005F2B37"/>
    <w:rsid w:val="005F3F02"/>
    <w:rsid w:val="005F6564"/>
    <w:rsid w:val="006017DD"/>
    <w:rsid w:val="00605552"/>
    <w:rsid w:val="00605CCC"/>
    <w:rsid w:val="0061097C"/>
    <w:rsid w:val="006113C1"/>
    <w:rsid w:val="00612C91"/>
    <w:rsid w:val="006152AF"/>
    <w:rsid w:val="006223D7"/>
    <w:rsid w:val="00622DDD"/>
    <w:rsid w:val="006234E1"/>
    <w:rsid w:val="0062398E"/>
    <w:rsid w:val="00625708"/>
    <w:rsid w:val="0062720C"/>
    <w:rsid w:val="0062778D"/>
    <w:rsid w:val="0063074F"/>
    <w:rsid w:val="00634826"/>
    <w:rsid w:val="00634B04"/>
    <w:rsid w:val="00634D67"/>
    <w:rsid w:val="0063708E"/>
    <w:rsid w:val="0063727A"/>
    <w:rsid w:val="006379F9"/>
    <w:rsid w:val="006405D4"/>
    <w:rsid w:val="006414BA"/>
    <w:rsid w:val="00642F2F"/>
    <w:rsid w:val="00644930"/>
    <w:rsid w:val="00646A13"/>
    <w:rsid w:val="00646A89"/>
    <w:rsid w:val="00647333"/>
    <w:rsid w:val="00651F88"/>
    <w:rsid w:val="00660314"/>
    <w:rsid w:val="00661114"/>
    <w:rsid w:val="00664698"/>
    <w:rsid w:val="00664E95"/>
    <w:rsid w:val="00665377"/>
    <w:rsid w:val="006655EF"/>
    <w:rsid w:val="0066673A"/>
    <w:rsid w:val="00667597"/>
    <w:rsid w:val="00667DD8"/>
    <w:rsid w:val="00670FA5"/>
    <w:rsid w:val="00672E2C"/>
    <w:rsid w:val="00673F42"/>
    <w:rsid w:val="0067603E"/>
    <w:rsid w:val="006778CC"/>
    <w:rsid w:val="00682372"/>
    <w:rsid w:val="006856D1"/>
    <w:rsid w:val="00687F61"/>
    <w:rsid w:val="00691B87"/>
    <w:rsid w:val="0069268E"/>
    <w:rsid w:val="00693A8C"/>
    <w:rsid w:val="00697D7D"/>
    <w:rsid w:val="006A083D"/>
    <w:rsid w:val="006A0F00"/>
    <w:rsid w:val="006A2CBC"/>
    <w:rsid w:val="006A759D"/>
    <w:rsid w:val="006A75E3"/>
    <w:rsid w:val="006B4F24"/>
    <w:rsid w:val="006B6520"/>
    <w:rsid w:val="006B6B32"/>
    <w:rsid w:val="006B7BB2"/>
    <w:rsid w:val="006C0345"/>
    <w:rsid w:val="006C2B40"/>
    <w:rsid w:val="006C4742"/>
    <w:rsid w:val="006C60B0"/>
    <w:rsid w:val="006C6D78"/>
    <w:rsid w:val="006C73EA"/>
    <w:rsid w:val="006D0D0B"/>
    <w:rsid w:val="006D3539"/>
    <w:rsid w:val="006D4414"/>
    <w:rsid w:val="006D47C2"/>
    <w:rsid w:val="006D7CBD"/>
    <w:rsid w:val="006D7EB9"/>
    <w:rsid w:val="006E171F"/>
    <w:rsid w:val="006E2410"/>
    <w:rsid w:val="006F1740"/>
    <w:rsid w:val="006F3ED2"/>
    <w:rsid w:val="006F4D3A"/>
    <w:rsid w:val="006F5487"/>
    <w:rsid w:val="007022A3"/>
    <w:rsid w:val="00702E61"/>
    <w:rsid w:val="00704D47"/>
    <w:rsid w:val="0070669C"/>
    <w:rsid w:val="007077B7"/>
    <w:rsid w:val="00707E9B"/>
    <w:rsid w:val="00711D5B"/>
    <w:rsid w:val="007149E4"/>
    <w:rsid w:val="007152B6"/>
    <w:rsid w:val="00724CC4"/>
    <w:rsid w:val="007252BB"/>
    <w:rsid w:val="00726815"/>
    <w:rsid w:val="007379A0"/>
    <w:rsid w:val="00743FA8"/>
    <w:rsid w:val="007441C8"/>
    <w:rsid w:val="00752779"/>
    <w:rsid w:val="0075284E"/>
    <w:rsid w:val="00755F5F"/>
    <w:rsid w:val="00764374"/>
    <w:rsid w:val="00765C59"/>
    <w:rsid w:val="007665D6"/>
    <w:rsid w:val="007674FF"/>
    <w:rsid w:val="00770CBF"/>
    <w:rsid w:val="00771502"/>
    <w:rsid w:val="00771687"/>
    <w:rsid w:val="00776F42"/>
    <w:rsid w:val="00780898"/>
    <w:rsid w:val="00784B4C"/>
    <w:rsid w:val="007858F8"/>
    <w:rsid w:val="00790D45"/>
    <w:rsid w:val="00790E3A"/>
    <w:rsid w:val="00792BDC"/>
    <w:rsid w:val="00794C0D"/>
    <w:rsid w:val="007A4823"/>
    <w:rsid w:val="007A597E"/>
    <w:rsid w:val="007A6807"/>
    <w:rsid w:val="007B1DD6"/>
    <w:rsid w:val="007B3C65"/>
    <w:rsid w:val="007B4E6A"/>
    <w:rsid w:val="007B517B"/>
    <w:rsid w:val="007B54A7"/>
    <w:rsid w:val="007B7DD5"/>
    <w:rsid w:val="007C2609"/>
    <w:rsid w:val="007C5623"/>
    <w:rsid w:val="007C59D3"/>
    <w:rsid w:val="007C658B"/>
    <w:rsid w:val="007D30C9"/>
    <w:rsid w:val="007D4698"/>
    <w:rsid w:val="007D4A34"/>
    <w:rsid w:val="007D5777"/>
    <w:rsid w:val="007D5EA1"/>
    <w:rsid w:val="007D61FD"/>
    <w:rsid w:val="007E0243"/>
    <w:rsid w:val="007E1F15"/>
    <w:rsid w:val="007E5ABD"/>
    <w:rsid w:val="007E6798"/>
    <w:rsid w:val="007E7E05"/>
    <w:rsid w:val="007F42F0"/>
    <w:rsid w:val="007F4C6C"/>
    <w:rsid w:val="007F6949"/>
    <w:rsid w:val="007F6B50"/>
    <w:rsid w:val="007F794E"/>
    <w:rsid w:val="00802841"/>
    <w:rsid w:val="008030B4"/>
    <w:rsid w:val="00807779"/>
    <w:rsid w:val="00807E0C"/>
    <w:rsid w:val="00811CBE"/>
    <w:rsid w:val="00812527"/>
    <w:rsid w:val="0081751A"/>
    <w:rsid w:val="00820401"/>
    <w:rsid w:val="0082609D"/>
    <w:rsid w:val="00826A6D"/>
    <w:rsid w:val="00830F48"/>
    <w:rsid w:val="0083337A"/>
    <w:rsid w:val="0083512C"/>
    <w:rsid w:val="00835842"/>
    <w:rsid w:val="00836955"/>
    <w:rsid w:val="008377D6"/>
    <w:rsid w:val="00843268"/>
    <w:rsid w:val="00850438"/>
    <w:rsid w:val="00850581"/>
    <w:rsid w:val="0085078C"/>
    <w:rsid w:val="00852792"/>
    <w:rsid w:val="00854A32"/>
    <w:rsid w:val="00857309"/>
    <w:rsid w:val="008577A2"/>
    <w:rsid w:val="00863033"/>
    <w:rsid w:val="00863842"/>
    <w:rsid w:val="008648F2"/>
    <w:rsid w:val="00866BBE"/>
    <w:rsid w:val="00867548"/>
    <w:rsid w:val="00871FA1"/>
    <w:rsid w:val="008739E7"/>
    <w:rsid w:val="00873BE0"/>
    <w:rsid w:val="0087784B"/>
    <w:rsid w:val="008826CE"/>
    <w:rsid w:val="00882FB4"/>
    <w:rsid w:val="008830D1"/>
    <w:rsid w:val="008858ED"/>
    <w:rsid w:val="008875EF"/>
    <w:rsid w:val="00893F7A"/>
    <w:rsid w:val="00894BAD"/>
    <w:rsid w:val="00897DD4"/>
    <w:rsid w:val="008A5414"/>
    <w:rsid w:val="008A5E09"/>
    <w:rsid w:val="008A679F"/>
    <w:rsid w:val="008A75AC"/>
    <w:rsid w:val="008A7F26"/>
    <w:rsid w:val="008B1138"/>
    <w:rsid w:val="008B6202"/>
    <w:rsid w:val="008B704A"/>
    <w:rsid w:val="008C2AED"/>
    <w:rsid w:val="008C53AD"/>
    <w:rsid w:val="008C672E"/>
    <w:rsid w:val="008C7F56"/>
    <w:rsid w:val="008D36B1"/>
    <w:rsid w:val="008D56FF"/>
    <w:rsid w:val="008D5F8D"/>
    <w:rsid w:val="008D7F8B"/>
    <w:rsid w:val="008E2820"/>
    <w:rsid w:val="008E3474"/>
    <w:rsid w:val="008F2773"/>
    <w:rsid w:val="008F33E2"/>
    <w:rsid w:val="008F33F2"/>
    <w:rsid w:val="008F366D"/>
    <w:rsid w:val="008F370C"/>
    <w:rsid w:val="008F4E95"/>
    <w:rsid w:val="009004B4"/>
    <w:rsid w:val="009043FD"/>
    <w:rsid w:val="00904490"/>
    <w:rsid w:val="00911C49"/>
    <w:rsid w:val="00915AFA"/>
    <w:rsid w:val="00916023"/>
    <w:rsid w:val="00921DEB"/>
    <w:rsid w:val="009232EC"/>
    <w:rsid w:val="0092428B"/>
    <w:rsid w:val="00930034"/>
    <w:rsid w:val="009308A4"/>
    <w:rsid w:val="00937A41"/>
    <w:rsid w:val="00940838"/>
    <w:rsid w:val="009413F1"/>
    <w:rsid w:val="00941D0D"/>
    <w:rsid w:val="0094263E"/>
    <w:rsid w:val="00947679"/>
    <w:rsid w:val="009519F6"/>
    <w:rsid w:val="00954BE3"/>
    <w:rsid w:val="00956B89"/>
    <w:rsid w:val="00957A9D"/>
    <w:rsid w:val="00957D0C"/>
    <w:rsid w:val="00960D33"/>
    <w:rsid w:val="00960E4D"/>
    <w:rsid w:val="00961F58"/>
    <w:rsid w:val="00965C2A"/>
    <w:rsid w:val="009746D0"/>
    <w:rsid w:val="00975141"/>
    <w:rsid w:val="00980681"/>
    <w:rsid w:val="00982AA3"/>
    <w:rsid w:val="00984EE7"/>
    <w:rsid w:val="00987182"/>
    <w:rsid w:val="00990494"/>
    <w:rsid w:val="00990DB6"/>
    <w:rsid w:val="00990ED8"/>
    <w:rsid w:val="00993666"/>
    <w:rsid w:val="009959E8"/>
    <w:rsid w:val="009965A3"/>
    <w:rsid w:val="00996644"/>
    <w:rsid w:val="00996C17"/>
    <w:rsid w:val="009974D5"/>
    <w:rsid w:val="009A1F30"/>
    <w:rsid w:val="009A2198"/>
    <w:rsid w:val="009A2B94"/>
    <w:rsid w:val="009A4C61"/>
    <w:rsid w:val="009A64B5"/>
    <w:rsid w:val="009A7759"/>
    <w:rsid w:val="009B32C2"/>
    <w:rsid w:val="009B3657"/>
    <w:rsid w:val="009B486C"/>
    <w:rsid w:val="009B5336"/>
    <w:rsid w:val="009B5CA5"/>
    <w:rsid w:val="009C12AC"/>
    <w:rsid w:val="009C1420"/>
    <w:rsid w:val="009C2AE8"/>
    <w:rsid w:val="009C2E66"/>
    <w:rsid w:val="009C3A53"/>
    <w:rsid w:val="009C5B22"/>
    <w:rsid w:val="009C7402"/>
    <w:rsid w:val="009D02BA"/>
    <w:rsid w:val="009D1824"/>
    <w:rsid w:val="009D6854"/>
    <w:rsid w:val="009D7A38"/>
    <w:rsid w:val="009D7CB5"/>
    <w:rsid w:val="009E0AF4"/>
    <w:rsid w:val="009E6E60"/>
    <w:rsid w:val="009F43F6"/>
    <w:rsid w:val="009F5143"/>
    <w:rsid w:val="009F57B2"/>
    <w:rsid w:val="009F5A99"/>
    <w:rsid w:val="00A044C3"/>
    <w:rsid w:val="00A05DA0"/>
    <w:rsid w:val="00A10436"/>
    <w:rsid w:val="00A104DD"/>
    <w:rsid w:val="00A10533"/>
    <w:rsid w:val="00A11037"/>
    <w:rsid w:val="00A11F28"/>
    <w:rsid w:val="00A22839"/>
    <w:rsid w:val="00A23EFA"/>
    <w:rsid w:val="00A24968"/>
    <w:rsid w:val="00A262D2"/>
    <w:rsid w:val="00A266F2"/>
    <w:rsid w:val="00A30980"/>
    <w:rsid w:val="00A311CD"/>
    <w:rsid w:val="00A32E76"/>
    <w:rsid w:val="00A35B85"/>
    <w:rsid w:val="00A41DCB"/>
    <w:rsid w:val="00A41E49"/>
    <w:rsid w:val="00A4218E"/>
    <w:rsid w:val="00A47CF7"/>
    <w:rsid w:val="00A503FB"/>
    <w:rsid w:val="00A528FA"/>
    <w:rsid w:val="00A612BC"/>
    <w:rsid w:val="00A61DB2"/>
    <w:rsid w:val="00A6317B"/>
    <w:rsid w:val="00A64A3A"/>
    <w:rsid w:val="00A671A4"/>
    <w:rsid w:val="00A7606E"/>
    <w:rsid w:val="00A77775"/>
    <w:rsid w:val="00A77867"/>
    <w:rsid w:val="00A77B71"/>
    <w:rsid w:val="00A82D47"/>
    <w:rsid w:val="00A83533"/>
    <w:rsid w:val="00A8364C"/>
    <w:rsid w:val="00A83A62"/>
    <w:rsid w:val="00A853DF"/>
    <w:rsid w:val="00A91FBF"/>
    <w:rsid w:val="00A93D2E"/>
    <w:rsid w:val="00A94819"/>
    <w:rsid w:val="00A9583E"/>
    <w:rsid w:val="00AA0276"/>
    <w:rsid w:val="00AA42B2"/>
    <w:rsid w:val="00AA57FF"/>
    <w:rsid w:val="00AA7059"/>
    <w:rsid w:val="00AB123A"/>
    <w:rsid w:val="00AB2553"/>
    <w:rsid w:val="00AB6DA7"/>
    <w:rsid w:val="00AB6F7F"/>
    <w:rsid w:val="00AC163E"/>
    <w:rsid w:val="00AC1CCB"/>
    <w:rsid w:val="00AC47A4"/>
    <w:rsid w:val="00AC727B"/>
    <w:rsid w:val="00AC729E"/>
    <w:rsid w:val="00AC7CB0"/>
    <w:rsid w:val="00AD2BB4"/>
    <w:rsid w:val="00AD3B37"/>
    <w:rsid w:val="00AD3E1B"/>
    <w:rsid w:val="00AE5B09"/>
    <w:rsid w:val="00AF1F92"/>
    <w:rsid w:val="00AF5081"/>
    <w:rsid w:val="00AF52B5"/>
    <w:rsid w:val="00AF6230"/>
    <w:rsid w:val="00B00D54"/>
    <w:rsid w:val="00B00F45"/>
    <w:rsid w:val="00B054C7"/>
    <w:rsid w:val="00B05E9F"/>
    <w:rsid w:val="00B0643C"/>
    <w:rsid w:val="00B06A4E"/>
    <w:rsid w:val="00B1001B"/>
    <w:rsid w:val="00B10585"/>
    <w:rsid w:val="00B1401B"/>
    <w:rsid w:val="00B15A0A"/>
    <w:rsid w:val="00B1782C"/>
    <w:rsid w:val="00B202F5"/>
    <w:rsid w:val="00B267AD"/>
    <w:rsid w:val="00B27441"/>
    <w:rsid w:val="00B41807"/>
    <w:rsid w:val="00B41871"/>
    <w:rsid w:val="00B47DDD"/>
    <w:rsid w:val="00B50B83"/>
    <w:rsid w:val="00B50C9E"/>
    <w:rsid w:val="00B572C9"/>
    <w:rsid w:val="00B60324"/>
    <w:rsid w:val="00B60F65"/>
    <w:rsid w:val="00B77EED"/>
    <w:rsid w:val="00B80936"/>
    <w:rsid w:val="00B816A7"/>
    <w:rsid w:val="00B8237C"/>
    <w:rsid w:val="00B82E03"/>
    <w:rsid w:val="00B830FF"/>
    <w:rsid w:val="00B843A9"/>
    <w:rsid w:val="00B864E7"/>
    <w:rsid w:val="00B903BE"/>
    <w:rsid w:val="00B91512"/>
    <w:rsid w:val="00B936BB"/>
    <w:rsid w:val="00B93F73"/>
    <w:rsid w:val="00B943C5"/>
    <w:rsid w:val="00B94C96"/>
    <w:rsid w:val="00B9745A"/>
    <w:rsid w:val="00BA1703"/>
    <w:rsid w:val="00BA1C24"/>
    <w:rsid w:val="00BA1F8A"/>
    <w:rsid w:val="00BA2B39"/>
    <w:rsid w:val="00BA3BC9"/>
    <w:rsid w:val="00BA605E"/>
    <w:rsid w:val="00BA7852"/>
    <w:rsid w:val="00BB0028"/>
    <w:rsid w:val="00BB16F7"/>
    <w:rsid w:val="00BB3A72"/>
    <w:rsid w:val="00BB7D8A"/>
    <w:rsid w:val="00BC3755"/>
    <w:rsid w:val="00BC398A"/>
    <w:rsid w:val="00BC5CFB"/>
    <w:rsid w:val="00BC7D64"/>
    <w:rsid w:val="00BD0655"/>
    <w:rsid w:val="00BD0B3E"/>
    <w:rsid w:val="00BD2CCB"/>
    <w:rsid w:val="00BD3D4B"/>
    <w:rsid w:val="00BD6A39"/>
    <w:rsid w:val="00BE02C0"/>
    <w:rsid w:val="00BE119F"/>
    <w:rsid w:val="00BE3BA5"/>
    <w:rsid w:val="00BE4A55"/>
    <w:rsid w:val="00BE5099"/>
    <w:rsid w:val="00BE582B"/>
    <w:rsid w:val="00BE7C7F"/>
    <w:rsid w:val="00BF2CCC"/>
    <w:rsid w:val="00BF3ABD"/>
    <w:rsid w:val="00BF482A"/>
    <w:rsid w:val="00C000F3"/>
    <w:rsid w:val="00C06966"/>
    <w:rsid w:val="00C10BF6"/>
    <w:rsid w:val="00C14318"/>
    <w:rsid w:val="00C174A4"/>
    <w:rsid w:val="00C21C5C"/>
    <w:rsid w:val="00C2205C"/>
    <w:rsid w:val="00C22D9F"/>
    <w:rsid w:val="00C23BD3"/>
    <w:rsid w:val="00C2487E"/>
    <w:rsid w:val="00C2571A"/>
    <w:rsid w:val="00C25EE3"/>
    <w:rsid w:val="00C26EC6"/>
    <w:rsid w:val="00C27294"/>
    <w:rsid w:val="00C357A8"/>
    <w:rsid w:val="00C35C58"/>
    <w:rsid w:val="00C35F3D"/>
    <w:rsid w:val="00C37352"/>
    <w:rsid w:val="00C40DE2"/>
    <w:rsid w:val="00C41299"/>
    <w:rsid w:val="00C41EA4"/>
    <w:rsid w:val="00C45D9D"/>
    <w:rsid w:val="00C463D2"/>
    <w:rsid w:val="00C50A32"/>
    <w:rsid w:val="00C52627"/>
    <w:rsid w:val="00C52C0E"/>
    <w:rsid w:val="00C5317C"/>
    <w:rsid w:val="00C54482"/>
    <w:rsid w:val="00C604A1"/>
    <w:rsid w:val="00C6258E"/>
    <w:rsid w:val="00C62699"/>
    <w:rsid w:val="00C633D2"/>
    <w:rsid w:val="00C64D36"/>
    <w:rsid w:val="00C65300"/>
    <w:rsid w:val="00C65E85"/>
    <w:rsid w:val="00C65FC7"/>
    <w:rsid w:val="00C71CBD"/>
    <w:rsid w:val="00C75411"/>
    <w:rsid w:val="00C77BAB"/>
    <w:rsid w:val="00C80A94"/>
    <w:rsid w:val="00C8210D"/>
    <w:rsid w:val="00C8312A"/>
    <w:rsid w:val="00C838C0"/>
    <w:rsid w:val="00C84631"/>
    <w:rsid w:val="00C8508E"/>
    <w:rsid w:val="00C912DB"/>
    <w:rsid w:val="00C915C3"/>
    <w:rsid w:val="00C91CBA"/>
    <w:rsid w:val="00C945A0"/>
    <w:rsid w:val="00C958C8"/>
    <w:rsid w:val="00CA26AD"/>
    <w:rsid w:val="00CA50D2"/>
    <w:rsid w:val="00CA593A"/>
    <w:rsid w:val="00CA6D38"/>
    <w:rsid w:val="00CA6E4F"/>
    <w:rsid w:val="00CA7240"/>
    <w:rsid w:val="00CB0A25"/>
    <w:rsid w:val="00CB13F6"/>
    <w:rsid w:val="00CB1990"/>
    <w:rsid w:val="00CB1A7C"/>
    <w:rsid w:val="00CB205B"/>
    <w:rsid w:val="00CB22EB"/>
    <w:rsid w:val="00CB2394"/>
    <w:rsid w:val="00CB2ADD"/>
    <w:rsid w:val="00CB5C50"/>
    <w:rsid w:val="00CB611F"/>
    <w:rsid w:val="00CB730E"/>
    <w:rsid w:val="00CB7666"/>
    <w:rsid w:val="00CC024B"/>
    <w:rsid w:val="00CC3712"/>
    <w:rsid w:val="00CC5431"/>
    <w:rsid w:val="00CD03A0"/>
    <w:rsid w:val="00CD20DD"/>
    <w:rsid w:val="00CD34A7"/>
    <w:rsid w:val="00CD3734"/>
    <w:rsid w:val="00CE13BA"/>
    <w:rsid w:val="00CE4BDB"/>
    <w:rsid w:val="00CE5021"/>
    <w:rsid w:val="00CF049E"/>
    <w:rsid w:val="00CF12E5"/>
    <w:rsid w:val="00CF3907"/>
    <w:rsid w:val="00CF6BE6"/>
    <w:rsid w:val="00CF7AEE"/>
    <w:rsid w:val="00D00681"/>
    <w:rsid w:val="00D06A9A"/>
    <w:rsid w:val="00D07441"/>
    <w:rsid w:val="00D11B13"/>
    <w:rsid w:val="00D11E60"/>
    <w:rsid w:val="00D11F80"/>
    <w:rsid w:val="00D13753"/>
    <w:rsid w:val="00D1440C"/>
    <w:rsid w:val="00D14C51"/>
    <w:rsid w:val="00D17C13"/>
    <w:rsid w:val="00D22D2F"/>
    <w:rsid w:val="00D26CBF"/>
    <w:rsid w:val="00D30309"/>
    <w:rsid w:val="00D30778"/>
    <w:rsid w:val="00D34D83"/>
    <w:rsid w:val="00D35909"/>
    <w:rsid w:val="00D40364"/>
    <w:rsid w:val="00D40D51"/>
    <w:rsid w:val="00D41B90"/>
    <w:rsid w:val="00D4223E"/>
    <w:rsid w:val="00D4226E"/>
    <w:rsid w:val="00D42DC1"/>
    <w:rsid w:val="00D561F8"/>
    <w:rsid w:val="00D653A4"/>
    <w:rsid w:val="00D727E8"/>
    <w:rsid w:val="00D817E8"/>
    <w:rsid w:val="00D84E19"/>
    <w:rsid w:val="00D92BAF"/>
    <w:rsid w:val="00D95100"/>
    <w:rsid w:val="00D967DB"/>
    <w:rsid w:val="00D96CD4"/>
    <w:rsid w:val="00DA1D28"/>
    <w:rsid w:val="00DA3744"/>
    <w:rsid w:val="00DA7006"/>
    <w:rsid w:val="00DA7C0A"/>
    <w:rsid w:val="00DB38BB"/>
    <w:rsid w:val="00DB4632"/>
    <w:rsid w:val="00DB4A79"/>
    <w:rsid w:val="00DB58A9"/>
    <w:rsid w:val="00DB5EDD"/>
    <w:rsid w:val="00DB716B"/>
    <w:rsid w:val="00DC3997"/>
    <w:rsid w:val="00DC6C7E"/>
    <w:rsid w:val="00DC7C77"/>
    <w:rsid w:val="00DD0144"/>
    <w:rsid w:val="00DD04DB"/>
    <w:rsid w:val="00DD39D2"/>
    <w:rsid w:val="00DD6345"/>
    <w:rsid w:val="00DD64A3"/>
    <w:rsid w:val="00DE4A85"/>
    <w:rsid w:val="00DE5567"/>
    <w:rsid w:val="00DE72CF"/>
    <w:rsid w:val="00DE7EA8"/>
    <w:rsid w:val="00DF309A"/>
    <w:rsid w:val="00DF4FDC"/>
    <w:rsid w:val="00E0030A"/>
    <w:rsid w:val="00E008C7"/>
    <w:rsid w:val="00E010FB"/>
    <w:rsid w:val="00E01381"/>
    <w:rsid w:val="00E0144C"/>
    <w:rsid w:val="00E01979"/>
    <w:rsid w:val="00E26370"/>
    <w:rsid w:val="00E27CC5"/>
    <w:rsid w:val="00E324FF"/>
    <w:rsid w:val="00E32507"/>
    <w:rsid w:val="00E41D86"/>
    <w:rsid w:val="00E42B63"/>
    <w:rsid w:val="00E42DE2"/>
    <w:rsid w:val="00E54D5B"/>
    <w:rsid w:val="00E55667"/>
    <w:rsid w:val="00E60549"/>
    <w:rsid w:val="00E6272A"/>
    <w:rsid w:val="00E63222"/>
    <w:rsid w:val="00E6789A"/>
    <w:rsid w:val="00E7092C"/>
    <w:rsid w:val="00E71172"/>
    <w:rsid w:val="00E717E0"/>
    <w:rsid w:val="00E74833"/>
    <w:rsid w:val="00E80117"/>
    <w:rsid w:val="00E82602"/>
    <w:rsid w:val="00E831BF"/>
    <w:rsid w:val="00E83763"/>
    <w:rsid w:val="00E83DF1"/>
    <w:rsid w:val="00E84123"/>
    <w:rsid w:val="00E84FCA"/>
    <w:rsid w:val="00E85B3F"/>
    <w:rsid w:val="00E85C44"/>
    <w:rsid w:val="00E872D4"/>
    <w:rsid w:val="00E91B88"/>
    <w:rsid w:val="00E92108"/>
    <w:rsid w:val="00E92714"/>
    <w:rsid w:val="00E93F56"/>
    <w:rsid w:val="00E950D0"/>
    <w:rsid w:val="00E965DE"/>
    <w:rsid w:val="00EA0AA5"/>
    <w:rsid w:val="00EA0DAD"/>
    <w:rsid w:val="00EA17FF"/>
    <w:rsid w:val="00EA27E2"/>
    <w:rsid w:val="00EA3BE5"/>
    <w:rsid w:val="00EA7AB0"/>
    <w:rsid w:val="00EB00E0"/>
    <w:rsid w:val="00EB1913"/>
    <w:rsid w:val="00EB395D"/>
    <w:rsid w:val="00EB40D5"/>
    <w:rsid w:val="00EB44FE"/>
    <w:rsid w:val="00EB525E"/>
    <w:rsid w:val="00EB5531"/>
    <w:rsid w:val="00EB76BC"/>
    <w:rsid w:val="00EB799A"/>
    <w:rsid w:val="00EB7A0B"/>
    <w:rsid w:val="00EC18E4"/>
    <w:rsid w:val="00EC371B"/>
    <w:rsid w:val="00EC5490"/>
    <w:rsid w:val="00EC5CD0"/>
    <w:rsid w:val="00EC60CD"/>
    <w:rsid w:val="00EC69CB"/>
    <w:rsid w:val="00EC70F1"/>
    <w:rsid w:val="00ED22D7"/>
    <w:rsid w:val="00ED7B4C"/>
    <w:rsid w:val="00ED7E5F"/>
    <w:rsid w:val="00EE1AE0"/>
    <w:rsid w:val="00EE3D0A"/>
    <w:rsid w:val="00EE5F9D"/>
    <w:rsid w:val="00EF2580"/>
    <w:rsid w:val="00EF35C9"/>
    <w:rsid w:val="00EF5DF0"/>
    <w:rsid w:val="00EF6839"/>
    <w:rsid w:val="00EF735E"/>
    <w:rsid w:val="00F01BBE"/>
    <w:rsid w:val="00F025BA"/>
    <w:rsid w:val="00F0485A"/>
    <w:rsid w:val="00F07712"/>
    <w:rsid w:val="00F07928"/>
    <w:rsid w:val="00F157FB"/>
    <w:rsid w:val="00F16257"/>
    <w:rsid w:val="00F23634"/>
    <w:rsid w:val="00F23C47"/>
    <w:rsid w:val="00F24470"/>
    <w:rsid w:val="00F261D0"/>
    <w:rsid w:val="00F2660A"/>
    <w:rsid w:val="00F35604"/>
    <w:rsid w:val="00F412F0"/>
    <w:rsid w:val="00F44E1E"/>
    <w:rsid w:val="00F5139E"/>
    <w:rsid w:val="00F52348"/>
    <w:rsid w:val="00F53402"/>
    <w:rsid w:val="00F5680C"/>
    <w:rsid w:val="00F60C1F"/>
    <w:rsid w:val="00F60E4E"/>
    <w:rsid w:val="00F62960"/>
    <w:rsid w:val="00F6687D"/>
    <w:rsid w:val="00F75977"/>
    <w:rsid w:val="00F75A2C"/>
    <w:rsid w:val="00F76704"/>
    <w:rsid w:val="00F77E92"/>
    <w:rsid w:val="00F81500"/>
    <w:rsid w:val="00F827DF"/>
    <w:rsid w:val="00F82954"/>
    <w:rsid w:val="00F84375"/>
    <w:rsid w:val="00F85589"/>
    <w:rsid w:val="00F85A85"/>
    <w:rsid w:val="00F90916"/>
    <w:rsid w:val="00F9104F"/>
    <w:rsid w:val="00F92BD0"/>
    <w:rsid w:val="00F932BA"/>
    <w:rsid w:val="00F9591B"/>
    <w:rsid w:val="00F97A4D"/>
    <w:rsid w:val="00FA099F"/>
    <w:rsid w:val="00FA3607"/>
    <w:rsid w:val="00FB01E2"/>
    <w:rsid w:val="00FB0C5D"/>
    <w:rsid w:val="00FB1817"/>
    <w:rsid w:val="00FB1BD3"/>
    <w:rsid w:val="00FB2AAF"/>
    <w:rsid w:val="00FB39D6"/>
    <w:rsid w:val="00FB41A9"/>
    <w:rsid w:val="00FB500F"/>
    <w:rsid w:val="00FB52C9"/>
    <w:rsid w:val="00FB594E"/>
    <w:rsid w:val="00FB65F1"/>
    <w:rsid w:val="00FB69D6"/>
    <w:rsid w:val="00FC06A5"/>
    <w:rsid w:val="00FC0EC6"/>
    <w:rsid w:val="00FC28C0"/>
    <w:rsid w:val="00FC3D99"/>
    <w:rsid w:val="00FC3E5A"/>
    <w:rsid w:val="00FC504C"/>
    <w:rsid w:val="00FD17DA"/>
    <w:rsid w:val="00FD1C5A"/>
    <w:rsid w:val="00FD265A"/>
    <w:rsid w:val="00FD68F2"/>
    <w:rsid w:val="00FE2077"/>
    <w:rsid w:val="00FE5316"/>
    <w:rsid w:val="00FE5582"/>
    <w:rsid w:val="00FE5D19"/>
    <w:rsid w:val="00FF027E"/>
    <w:rsid w:val="00FF032E"/>
    <w:rsid w:val="00FF49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7D8372A"/>
  <w15:docId w15:val="{40084EBB-DB60-44C5-B4C4-C8C24D33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2AE8"/>
    <w:pPr>
      <w:spacing w:before="120"/>
    </w:pPr>
    <w:rPr>
      <w:rFonts w:ascii="Calibri" w:eastAsia="SimSun" w:hAnsi="Calibri"/>
      <w:sz w:val="22"/>
      <w:szCs w:val="24"/>
      <w:lang w:eastAsia="zh-CN"/>
    </w:rPr>
  </w:style>
  <w:style w:type="paragraph" w:styleId="Heading1">
    <w:name w:val="heading 1"/>
    <w:basedOn w:val="Normal"/>
    <w:next w:val="Normal"/>
    <w:link w:val="Heading1Char"/>
    <w:uiPriority w:val="9"/>
    <w:qFormat/>
    <w:rsid w:val="000B471F"/>
    <w:pPr>
      <w:keepNext/>
      <w:spacing w:before="240" w:after="60"/>
      <w:outlineLvl w:val="0"/>
    </w:pPr>
    <w:rPr>
      <w:b/>
      <w:bCs/>
      <w:kern w:val="32"/>
      <w:sz w:val="30"/>
      <w:szCs w:val="32"/>
    </w:rPr>
  </w:style>
  <w:style w:type="paragraph" w:styleId="Heading2">
    <w:name w:val="heading 2"/>
    <w:basedOn w:val="Normal"/>
    <w:next w:val="Normal"/>
    <w:link w:val="Heading2Char"/>
    <w:semiHidden/>
    <w:unhideWhenUsed/>
    <w:qFormat/>
    <w:rsid w:val="00C80A9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unhideWhenUsed/>
    <w:qFormat/>
    <w:rsid w:val="00982AA3"/>
    <w:pPr>
      <w:keepNext/>
      <w:spacing w:before="240" w:after="60"/>
      <w:outlineLvl w:val="2"/>
    </w:pPr>
    <w:rPr>
      <w:rFonts w:ascii="Cambria" w:eastAsia="Times New Roman" w:hAnsi="Cambria"/>
      <w:b/>
      <w:bCs/>
      <w:sz w:val="26"/>
      <w:szCs w:val="26"/>
    </w:rPr>
  </w:style>
  <w:style w:type="paragraph" w:styleId="Heading4">
    <w:name w:val="heading 4"/>
    <w:basedOn w:val="Normal"/>
    <w:next w:val="Normal"/>
    <w:autoRedefine/>
    <w:qFormat/>
    <w:rsid w:val="007D4A34"/>
    <w:pPr>
      <w:keepNext/>
      <w:ind w:right="-183"/>
      <w:jc w:val="both"/>
      <w:outlineLvl w:val="3"/>
    </w:pPr>
    <w:rPr>
      <w:b/>
      <w:bCs/>
      <w:sz w:val="30"/>
      <w:szCs w:val="28"/>
    </w:rPr>
  </w:style>
  <w:style w:type="paragraph" w:styleId="Heading5">
    <w:name w:val="heading 5"/>
    <w:basedOn w:val="Normal"/>
    <w:next w:val="Normal"/>
    <w:qFormat/>
    <w:rsid w:val="00C27294"/>
    <w:pPr>
      <w:keepNext/>
      <w:pBdr>
        <w:top w:val="single" w:sz="4" w:space="1" w:color="auto"/>
        <w:left w:val="single" w:sz="4" w:space="4" w:color="auto"/>
        <w:bottom w:val="single" w:sz="4" w:space="1" w:color="auto"/>
        <w:right w:val="single" w:sz="4" w:space="4" w:color="auto"/>
      </w:pBdr>
      <w:ind w:left="360"/>
      <w:jc w:val="center"/>
      <w:outlineLvl w:val="4"/>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27294"/>
    <w:pPr>
      <w:jc w:val="both"/>
    </w:pPr>
    <w:rPr>
      <w:szCs w:val="20"/>
      <w:lang w:val="en-GB"/>
    </w:rPr>
  </w:style>
  <w:style w:type="character" w:styleId="Hyperlink">
    <w:name w:val="Hyperlink"/>
    <w:uiPriority w:val="99"/>
    <w:rsid w:val="00C27294"/>
    <w:rPr>
      <w:color w:val="0000FF"/>
      <w:u w:val="single"/>
    </w:rPr>
  </w:style>
  <w:style w:type="paragraph" w:styleId="FootnoteText">
    <w:name w:val="footnote text"/>
    <w:aliases w:val="single space,Footnote Text Char,Proposal Footnote Text,fn,Footnote Text Char Char Char Char Char Char,FOOTNOTES,Footnote Text Char Char Знак Знак,Footnote Text Char Char Знак Зн,footnote text,Текст сноски Знак1,ft,Char Char Char Char1"/>
    <w:basedOn w:val="Normal"/>
    <w:link w:val="FootnoteTextChar1"/>
    <w:uiPriority w:val="99"/>
    <w:qFormat/>
    <w:rsid w:val="00C27294"/>
    <w:rPr>
      <w:sz w:val="20"/>
      <w:szCs w:val="20"/>
      <w:lang w:val="en-GB"/>
    </w:rPr>
  </w:style>
  <w:style w:type="paragraph" w:styleId="BodyTextIndent">
    <w:name w:val="Body Text Indent"/>
    <w:basedOn w:val="Normal"/>
    <w:rsid w:val="00C27294"/>
    <w:pPr>
      <w:ind w:left="360"/>
    </w:pPr>
    <w:rPr>
      <w:b/>
      <w:sz w:val="20"/>
      <w:szCs w:val="20"/>
      <w:lang w:val="en-GB"/>
    </w:rPr>
  </w:style>
  <w:style w:type="character" w:customStyle="1" w:styleId="FootnoteTextChar1">
    <w:name w:val="Footnote Text Char1"/>
    <w:aliases w:val="single space Char,Footnote Text Char Char,Proposal Footnote Text Char,fn Char,Footnote Text Char Char Char Char Char Char Char,FOOTNOTES Char,Footnote Text Char Char Знак Знак Char,Footnote Text Char Char Знак Зн Char,ft Char"/>
    <w:link w:val="FootnoteText"/>
    <w:uiPriority w:val="99"/>
    <w:rsid w:val="00C27294"/>
    <w:rPr>
      <w:lang w:val="en-GB" w:eastAsia="en-US" w:bidi="ar-SA"/>
    </w:rPr>
  </w:style>
  <w:style w:type="paragraph" w:styleId="BodyTextIndent2">
    <w:name w:val="Body Text Indent 2"/>
    <w:basedOn w:val="Normal"/>
    <w:rsid w:val="00127A71"/>
    <w:pPr>
      <w:spacing w:after="120" w:line="480" w:lineRule="auto"/>
      <w:ind w:left="360"/>
    </w:pPr>
  </w:style>
  <w:style w:type="table" w:styleId="TableGrid">
    <w:name w:val="Table Grid"/>
    <w:basedOn w:val="TableNormal"/>
    <w:rsid w:val="00127A7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27A71"/>
    <w:pPr>
      <w:tabs>
        <w:tab w:val="center" w:pos="4320"/>
        <w:tab w:val="right" w:pos="8640"/>
      </w:tabs>
    </w:pPr>
  </w:style>
  <w:style w:type="character" w:styleId="PageNumber">
    <w:name w:val="page number"/>
    <w:basedOn w:val="DefaultParagraphFont"/>
    <w:rsid w:val="00127A71"/>
  </w:style>
  <w:style w:type="paragraph" w:styleId="BodyText2">
    <w:name w:val="Body Text 2"/>
    <w:basedOn w:val="Normal"/>
    <w:rsid w:val="00127A71"/>
    <w:pPr>
      <w:spacing w:after="120" w:line="480" w:lineRule="auto"/>
    </w:p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arattere Carattere Char Char Char Carattere Cha"/>
    <w:link w:val="Char2"/>
    <w:uiPriority w:val="99"/>
    <w:qFormat/>
    <w:rsid w:val="00A82D47"/>
    <w:rPr>
      <w:vertAlign w:val="superscript"/>
    </w:rPr>
  </w:style>
  <w:style w:type="paragraph" w:customStyle="1" w:styleId="GeorgianText">
    <w:name w:val="GeorgianText"/>
    <w:basedOn w:val="Normal"/>
    <w:rsid w:val="000B3687"/>
    <w:pPr>
      <w:spacing w:before="60" w:after="60"/>
    </w:pPr>
    <w:rPr>
      <w:rFonts w:ascii="G&amp;G_Liter" w:eastAsia="Times New Roman" w:hAnsi="G&amp;G_Liter"/>
      <w:szCs w:val="20"/>
      <w:lang w:eastAsia="en-US"/>
    </w:rPr>
  </w:style>
  <w:style w:type="paragraph" w:styleId="CommentText">
    <w:name w:val="annotation text"/>
    <w:basedOn w:val="Normal"/>
    <w:link w:val="CommentTextChar"/>
    <w:semiHidden/>
    <w:rsid w:val="00446121"/>
    <w:rPr>
      <w:rFonts w:ascii="Palatino" w:eastAsia="Times New Roman" w:hAnsi="Palatino"/>
      <w:color w:val="000000"/>
      <w:sz w:val="20"/>
      <w:szCs w:val="20"/>
      <w:lang w:eastAsia="en-US"/>
    </w:rPr>
  </w:style>
  <w:style w:type="character" w:customStyle="1" w:styleId="CommentTextChar">
    <w:name w:val="Comment Text Char"/>
    <w:link w:val="CommentText"/>
    <w:semiHidden/>
    <w:rsid w:val="00446121"/>
    <w:rPr>
      <w:rFonts w:ascii="Palatino" w:hAnsi="Palatino"/>
      <w:color w:val="000000"/>
      <w:lang w:val="en-US" w:eastAsia="en-US" w:bidi="ar-SA"/>
    </w:rPr>
  </w:style>
  <w:style w:type="paragraph" w:customStyle="1" w:styleId="Char">
    <w:name w:val="Char"/>
    <w:basedOn w:val="Normal"/>
    <w:next w:val="Normal"/>
    <w:rsid w:val="00446121"/>
    <w:pPr>
      <w:spacing w:after="160" w:line="240" w:lineRule="exact"/>
    </w:pPr>
    <w:rPr>
      <w:rFonts w:ascii="Tahoma" w:eastAsia="Times New Roman" w:hAnsi="Tahoma"/>
      <w:szCs w:val="20"/>
      <w:lang w:eastAsia="en-US"/>
    </w:rPr>
  </w:style>
  <w:style w:type="paragraph" w:customStyle="1" w:styleId="Experiences">
    <w:name w:val="Experiences"/>
    <w:rsid w:val="00446121"/>
    <w:pPr>
      <w:keepNext/>
      <w:tabs>
        <w:tab w:val="right" w:pos="9360"/>
      </w:tabs>
    </w:pPr>
    <w:rPr>
      <w:b/>
      <w:bCs/>
      <w:sz w:val="22"/>
      <w:szCs w:val="24"/>
    </w:rPr>
  </w:style>
  <w:style w:type="character" w:customStyle="1" w:styleId="Ivdity">
    <w:name w:val="Ivdity"/>
    <w:semiHidden/>
    <w:rsid w:val="00446121"/>
    <w:rPr>
      <w:rFonts w:ascii="Arial" w:hAnsi="Arial" w:cs="Arial"/>
      <w:color w:val="auto"/>
      <w:sz w:val="20"/>
      <w:szCs w:val="20"/>
    </w:rPr>
  </w:style>
  <w:style w:type="paragraph" w:styleId="Date">
    <w:name w:val="Date"/>
    <w:basedOn w:val="BodyText"/>
    <w:rsid w:val="004A2087"/>
    <w:pPr>
      <w:keepNext/>
      <w:spacing w:before="60"/>
      <w:ind w:left="907" w:right="284"/>
      <w:jc w:val="left"/>
    </w:pPr>
    <w:rPr>
      <w:rFonts w:eastAsia="Times New Roman"/>
      <w:sz w:val="21"/>
      <w:szCs w:val="19"/>
      <w:lang w:val="en-US" w:eastAsia="en-US"/>
    </w:rPr>
  </w:style>
  <w:style w:type="paragraph" w:customStyle="1" w:styleId="saTauri3">
    <w:name w:val="saTauri3"/>
    <w:basedOn w:val="Normal"/>
    <w:next w:val="Normal"/>
    <w:rsid w:val="004A2087"/>
    <w:pPr>
      <w:spacing w:before="240" w:after="120"/>
    </w:pPr>
    <w:rPr>
      <w:rFonts w:ascii="AcadMtavr" w:eastAsia="Times New Roman" w:hAnsi="AcadMtavr"/>
      <w:b/>
      <w:szCs w:val="20"/>
      <w:lang w:eastAsia="en-US"/>
    </w:rPr>
  </w:style>
  <w:style w:type="paragraph" w:customStyle="1" w:styleId="Achievement">
    <w:name w:val="Achievement"/>
    <w:basedOn w:val="Normal"/>
    <w:link w:val="AchievementChar"/>
    <w:rsid w:val="004A2087"/>
    <w:rPr>
      <w:rFonts w:eastAsia="Times New Roman"/>
      <w:sz w:val="20"/>
      <w:szCs w:val="20"/>
      <w:lang w:eastAsia="en-US"/>
    </w:rPr>
  </w:style>
  <w:style w:type="paragraph" w:customStyle="1" w:styleId="SectionTitle">
    <w:name w:val="Section Title"/>
    <w:basedOn w:val="Normal"/>
    <w:rsid w:val="004A2087"/>
    <w:pPr>
      <w:keepNext/>
      <w:spacing w:before="240"/>
    </w:pPr>
    <w:rPr>
      <w:rFonts w:ascii="Copperplate Gothic Bold" w:eastAsia="Times New Roman" w:hAnsi="Copperplate Gothic Bold"/>
      <w:sz w:val="28"/>
      <w:szCs w:val="20"/>
      <w:lang w:eastAsia="en-US"/>
    </w:rPr>
  </w:style>
  <w:style w:type="character" w:customStyle="1" w:styleId="Job">
    <w:name w:val="Job"/>
    <w:uiPriority w:val="99"/>
    <w:rsid w:val="004A2087"/>
    <w:rPr>
      <w:i/>
    </w:rPr>
  </w:style>
  <w:style w:type="paragraph" w:customStyle="1" w:styleId="grigolianum1">
    <w:name w:val="grigolia num1"/>
    <w:basedOn w:val="Normal"/>
    <w:rsid w:val="004A2087"/>
    <w:pPr>
      <w:numPr>
        <w:numId w:val="10"/>
      </w:numPr>
      <w:spacing w:after="120"/>
    </w:pPr>
    <w:rPr>
      <w:rFonts w:ascii="Grigolia" w:eastAsia="Times New Roman" w:hAnsi="Grigolia"/>
      <w:lang w:eastAsia="en-US"/>
    </w:rPr>
  </w:style>
  <w:style w:type="paragraph" w:customStyle="1" w:styleId="Institution">
    <w:name w:val="Institution"/>
    <w:basedOn w:val="BodyText"/>
    <w:link w:val="InstitutionChar"/>
    <w:rsid w:val="004A2087"/>
    <w:pPr>
      <w:keepNext/>
      <w:spacing w:before="60"/>
    </w:pPr>
    <w:rPr>
      <w:rFonts w:ascii="Century Gothic" w:eastAsia="Times New Roman" w:hAnsi="Century Gothic"/>
      <w:b/>
      <w:sz w:val="20"/>
      <w:lang w:val="en-US" w:eastAsia="en-US"/>
    </w:rPr>
  </w:style>
  <w:style w:type="character" w:customStyle="1" w:styleId="InstitutionChar">
    <w:name w:val="Institution Char"/>
    <w:link w:val="Institution"/>
    <w:rsid w:val="004A2087"/>
    <w:rPr>
      <w:rFonts w:ascii="Century Gothic" w:hAnsi="Century Gothic"/>
      <w:b/>
      <w:lang w:val="en-US" w:eastAsia="en-US" w:bidi="ar-SA"/>
    </w:rPr>
  </w:style>
  <w:style w:type="paragraph" w:customStyle="1" w:styleId="Education">
    <w:name w:val="Education"/>
    <w:link w:val="EducationChar"/>
    <w:rsid w:val="00EA7AB0"/>
    <w:pPr>
      <w:spacing w:before="60" w:after="60"/>
    </w:pPr>
    <w:rPr>
      <w:sz w:val="22"/>
      <w:szCs w:val="24"/>
    </w:rPr>
  </w:style>
  <w:style w:type="character" w:customStyle="1" w:styleId="EducationChar">
    <w:name w:val="Education Char"/>
    <w:link w:val="Education"/>
    <w:rsid w:val="00EA7AB0"/>
    <w:rPr>
      <w:sz w:val="22"/>
      <w:szCs w:val="24"/>
      <w:lang w:val="en-US" w:eastAsia="en-US" w:bidi="ar-SA"/>
    </w:rPr>
  </w:style>
  <w:style w:type="paragraph" w:styleId="Title">
    <w:name w:val="Title"/>
    <w:basedOn w:val="Normal"/>
    <w:next w:val="Subtitle"/>
    <w:link w:val="TitleChar"/>
    <w:qFormat/>
    <w:rsid w:val="00063C02"/>
    <w:pPr>
      <w:suppressAutoHyphens/>
      <w:spacing w:before="240" w:after="60"/>
      <w:jc w:val="center"/>
    </w:pPr>
    <w:rPr>
      <w:rFonts w:ascii="Arial" w:eastAsia="Times New Roman" w:hAnsi="Arial" w:cs="Arial"/>
      <w:b/>
      <w:bCs/>
      <w:kern w:val="1"/>
      <w:sz w:val="32"/>
      <w:szCs w:val="32"/>
      <w:lang w:val="en-GB" w:eastAsia="ar-SA"/>
    </w:rPr>
  </w:style>
  <w:style w:type="paragraph" w:styleId="Subtitle">
    <w:name w:val="Subtitle"/>
    <w:basedOn w:val="Normal"/>
    <w:link w:val="SubtitleChar"/>
    <w:uiPriority w:val="11"/>
    <w:qFormat/>
    <w:rsid w:val="00063C02"/>
    <w:pPr>
      <w:spacing w:after="60"/>
      <w:jc w:val="center"/>
      <w:outlineLvl w:val="1"/>
    </w:pPr>
    <w:rPr>
      <w:rFonts w:ascii="Arial" w:hAnsi="Arial" w:cs="Arial"/>
    </w:rPr>
  </w:style>
  <w:style w:type="paragraph" w:styleId="Caption">
    <w:name w:val="caption"/>
    <w:basedOn w:val="Normal"/>
    <w:next w:val="Normal"/>
    <w:qFormat/>
    <w:rsid w:val="000F1719"/>
    <w:rPr>
      <w:b/>
      <w:bCs/>
      <w:sz w:val="20"/>
      <w:szCs w:val="20"/>
    </w:rPr>
  </w:style>
  <w:style w:type="character" w:customStyle="1" w:styleId="Heading3Char">
    <w:name w:val="Heading 3 Char"/>
    <w:link w:val="Heading3"/>
    <w:semiHidden/>
    <w:rsid w:val="00982AA3"/>
    <w:rPr>
      <w:rFonts w:ascii="Cambria" w:eastAsia="Times New Roman" w:hAnsi="Cambria" w:cs="Times New Roman"/>
      <w:b/>
      <w:bCs/>
      <w:sz w:val="26"/>
      <w:szCs w:val="26"/>
      <w:lang w:eastAsia="zh-CN"/>
    </w:rPr>
  </w:style>
  <w:style w:type="paragraph" w:styleId="EndnoteText">
    <w:name w:val="endnote text"/>
    <w:basedOn w:val="Normal"/>
    <w:link w:val="EndnoteTextChar"/>
    <w:rsid w:val="00982AA3"/>
    <w:pPr>
      <w:spacing w:before="200" w:after="200" w:line="276" w:lineRule="auto"/>
    </w:pPr>
    <w:rPr>
      <w:rFonts w:eastAsia="Times New Roman"/>
      <w:sz w:val="20"/>
      <w:szCs w:val="20"/>
      <w:lang w:val="en-GB" w:eastAsia="en-US" w:bidi="en-US"/>
    </w:rPr>
  </w:style>
  <w:style w:type="character" w:customStyle="1" w:styleId="EndnoteTextChar">
    <w:name w:val="Endnote Text Char"/>
    <w:link w:val="EndnoteText"/>
    <w:rsid w:val="00982AA3"/>
    <w:rPr>
      <w:rFonts w:ascii="Calibri" w:eastAsia="Times New Roman" w:hAnsi="Calibri" w:cs="Times New Roman"/>
      <w:lang w:val="en-GB" w:bidi="en-US"/>
    </w:rPr>
  </w:style>
  <w:style w:type="character" w:styleId="EndnoteReference">
    <w:name w:val="endnote reference"/>
    <w:aliases w:val="Endnote Reference kaki"/>
    <w:qFormat/>
    <w:rsid w:val="009B5CA5"/>
    <w:rPr>
      <w:sz w:val="22"/>
      <w:vertAlign w:val="baseline"/>
    </w:rPr>
  </w:style>
  <w:style w:type="paragraph" w:customStyle="1" w:styleId="Table">
    <w:name w:val="Table"/>
    <w:basedOn w:val="Normal"/>
    <w:next w:val="Normal"/>
    <w:link w:val="TableChar"/>
    <w:rsid w:val="00982AA3"/>
    <w:pPr>
      <w:keepNext/>
      <w:tabs>
        <w:tab w:val="left" w:pos="0"/>
        <w:tab w:val="num" w:pos="1440"/>
      </w:tabs>
      <w:spacing w:before="200" w:after="240" w:line="276" w:lineRule="auto"/>
      <w:ind w:left="1440" w:hanging="1440"/>
      <w:outlineLvl w:val="1"/>
    </w:pPr>
    <w:rPr>
      <w:rFonts w:ascii="Arial" w:eastAsia="Times New Roman" w:hAnsi="Arial"/>
      <w:b/>
      <w:sz w:val="20"/>
      <w:szCs w:val="20"/>
      <w:lang w:val="en-GB" w:eastAsia="en-US" w:bidi="en-US"/>
    </w:rPr>
  </w:style>
  <w:style w:type="character" w:customStyle="1" w:styleId="TableChar">
    <w:name w:val="Table Char"/>
    <w:link w:val="Table"/>
    <w:rsid w:val="00982AA3"/>
    <w:rPr>
      <w:rFonts w:ascii="Arial" w:eastAsia="Times New Roman" w:hAnsi="Arial" w:cs="Times New Roman"/>
      <w:b/>
      <w:lang w:val="en-GB" w:bidi="en-US"/>
    </w:rPr>
  </w:style>
  <w:style w:type="table" w:styleId="Table3Deffects3">
    <w:name w:val="Table 3D effects 3"/>
    <w:basedOn w:val="TableNormal"/>
    <w:rsid w:val="00982AA3"/>
    <w:pPr>
      <w:spacing w:before="200" w:after="200" w:line="276" w:lineRule="auto"/>
    </w:pPr>
    <w:rPr>
      <w:rFonts w:ascii="Calibri" w:hAnsi="Calibri"/>
      <w:sz w:val="22"/>
      <w:szCs w:val="22"/>
      <w:lang w:bidi="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ubtitleChar">
    <w:name w:val="Subtitle Char"/>
    <w:link w:val="Subtitle"/>
    <w:uiPriority w:val="11"/>
    <w:rsid w:val="00982AA3"/>
    <w:rPr>
      <w:rFonts w:ascii="Arial" w:eastAsia="SimSun" w:hAnsi="Arial" w:cs="Arial"/>
      <w:sz w:val="24"/>
      <w:szCs w:val="24"/>
      <w:lang w:eastAsia="zh-CN"/>
    </w:rPr>
  </w:style>
  <w:style w:type="character" w:styleId="FollowedHyperlink">
    <w:name w:val="FollowedHyperlink"/>
    <w:rsid w:val="00982AA3"/>
    <w:rPr>
      <w:color w:val="800080"/>
      <w:u w:val="single"/>
    </w:rPr>
  </w:style>
  <w:style w:type="table" w:styleId="TableClassic1">
    <w:name w:val="Table Classic 1"/>
    <w:basedOn w:val="TableNormal"/>
    <w:rsid w:val="0082040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B82E03"/>
    <w:pPr>
      <w:spacing w:after="200" w:line="276" w:lineRule="auto"/>
      <w:ind w:left="720"/>
      <w:contextualSpacing/>
    </w:pPr>
    <w:rPr>
      <w:rFonts w:eastAsia="Calibri"/>
      <w:szCs w:val="22"/>
      <w:lang w:val="en-GB" w:eastAsia="en-US"/>
    </w:rPr>
  </w:style>
  <w:style w:type="paragraph" w:styleId="BodyText3">
    <w:name w:val="Body Text 3"/>
    <w:basedOn w:val="Normal"/>
    <w:link w:val="BodyText3Char"/>
    <w:rsid w:val="00C80A94"/>
    <w:pPr>
      <w:spacing w:after="120"/>
    </w:pPr>
    <w:rPr>
      <w:sz w:val="16"/>
      <w:szCs w:val="16"/>
    </w:rPr>
  </w:style>
  <w:style w:type="character" w:customStyle="1" w:styleId="BodyText3Char">
    <w:name w:val="Body Text 3 Char"/>
    <w:link w:val="BodyText3"/>
    <w:rsid w:val="00C80A94"/>
    <w:rPr>
      <w:rFonts w:eastAsia="SimSun"/>
      <w:sz w:val="16"/>
      <w:szCs w:val="16"/>
      <w:lang w:eastAsia="zh-CN"/>
    </w:rPr>
  </w:style>
  <w:style w:type="paragraph" w:customStyle="1" w:styleId="Default">
    <w:name w:val="Default"/>
    <w:rsid w:val="00C80A94"/>
    <w:pPr>
      <w:widowControl w:val="0"/>
      <w:autoSpaceDE w:val="0"/>
      <w:autoSpaceDN w:val="0"/>
      <w:adjustRightInd w:val="0"/>
    </w:pPr>
    <w:rPr>
      <w:rFonts w:eastAsia="SimSun"/>
      <w:color w:val="000000"/>
      <w:sz w:val="24"/>
      <w:szCs w:val="24"/>
      <w:lang w:eastAsia="zh-CN"/>
    </w:rPr>
  </w:style>
  <w:style w:type="character" w:customStyle="1" w:styleId="TitleChar">
    <w:name w:val="Title Char"/>
    <w:link w:val="Title"/>
    <w:rsid w:val="00C80A94"/>
    <w:rPr>
      <w:rFonts w:ascii="Arial" w:hAnsi="Arial" w:cs="Arial"/>
      <w:b/>
      <w:bCs/>
      <w:kern w:val="1"/>
      <w:sz w:val="32"/>
      <w:szCs w:val="32"/>
      <w:lang w:val="en-GB" w:eastAsia="ar-SA"/>
    </w:rPr>
  </w:style>
  <w:style w:type="character" w:customStyle="1" w:styleId="Heading2Char">
    <w:name w:val="Heading 2 Char"/>
    <w:link w:val="Heading2"/>
    <w:semiHidden/>
    <w:rsid w:val="00C80A94"/>
    <w:rPr>
      <w:rFonts w:ascii="Cambria" w:eastAsia="Times New Roman" w:hAnsi="Cambria" w:cs="Times New Roman"/>
      <w:b/>
      <w:bCs/>
      <w:i/>
      <w:iCs/>
      <w:sz w:val="28"/>
      <w:szCs w:val="28"/>
      <w:lang w:eastAsia="zh-CN"/>
    </w:rPr>
  </w:style>
  <w:style w:type="paragraph" w:styleId="Header">
    <w:name w:val="header"/>
    <w:basedOn w:val="Normal"/>
    <w:link w:val="HeaderChar"/>
    <w:rsid w:val="009B3657"/>
    <w:pPr>
      <w:tabs>
        <w:tab w:val="center" w:pos="4320"/>
        <w:tab w:val="right" w:pos="8640"/>
      </w:tabs>
    </w:pPr>
  </w:style>
  <w:style w:type="character" w:customStyle="1" w:styleId="HeaderChar">
    <w:name w:val="Header Char"/>
    <w:link w:val="Header"/>
    <w:rsid w:val="009B3657"/>
    <w:rPr>
      <w:rFonts w:eastAsia="SimSun"/>
      <w:sz w:val="24"/>
      <w:szCs w:val="24"/>
      <w:lang w:eastAsia="zh-CN"/>
    </w:rPr>
  </w:style>
  <w:style w:type="character" w:styleId="CommentReference">
    <w:name w:val="annotation reference"/>
    <w:unhideWhenUsed/>
    <w:rsid w:val="00F025BA"/>
    <w:rPr>
      <w:sz w:val="16"/>
      <w:szCs w:val="16"/>
    </w:rPr>
  </w:style>
  <w:style w:type="paragraph" w:styleId="BalloonText">
    <w:name w:val="Balloon Text"/>
    <w:basedOn w:val="Normal"/>
    <w:link w:val="BalloonTextChar"/>
    <w:rsid w:val="00F025BA"/>
    <w:rPr>
      <w:rFonts w:ascii="Lucida Grande" w:hAnsi="Lucida Grande" w:cs="Lucida Grande"/>
      <w:sz w:val="18"/>
      <w:szCs w:val="18"/>
    </w:rPr>
  </w:style>
  <w:style w:type="character" w:customStyle="1" w:styleId="BalloonTextChar">
    <w:name w:val="Balloon Text Char"/>
    <w:basedOn w:val="DefaultParagraphFont"/>
    <w:link w:val="BalloonText"/>
    <w:rsid w:val="00F025BA"/>
    <w:rPr>
      <w:rFonts w:ascii="Lucida Grande" w:eastAsia="SimSun" w:hAnsi="Lucida Grande" w:cs="Lucida Grande"/>
      <w:sz w:val="18"/>
      <w:szCs w:val="18"/>
      <w:lang w:eastAsia="zh-CN"/>
    </w:rPr>
  </w:style>
  <w:style w:type="character" w:customStyle="1" w:styleId="Heading1Char">
    <w:name w:val="Heading 1 Char"/>
    <w:basedOn w:val="DefaultParagraphFont"/>
    <w:link w:val="Heading1"/>
    <w:uiPriority w:val="9"/>
    <w:rsid w:val="000B471F"/>
    <w:rPr>
      <w:rFonts w:eastAsia="SimSun"/>
      <w:b/>
      <w:bCs/>
      <w:kern w:val="32"/>
      <w:sz w:val="30"/>
      <w:szCs w:val="32"/>
      <w:lang w:eastAsia="zh-CN"/>
    </w:rPr>
  </w:style>
  <w:style w:type="character" w:customStyle="1" w:styleId="AchievementChar">
    <w:name w:val="Achievement Char"/>
    <w:link w:val="Achievement"/>
    <w:rsid w:val="001A46FA"/>
  </w:style>
  <w:style w:type="paragraph" w:customStyle="1" w:styleId="TableText">
    <w:name w:val="Table Text"/>
    <w:basedOn w:val="Normal"/>
    <w:link w:val="TableTextChar"/>
    <w:rsid w:val="001A46FA"/>
    <w:pPr>
      <w:spacing w:line="240" w:lineRule="atLeast"/>
    </w:pPr>
    <w:rPr>
      <w:rFonts w:ascii="Arial" w:eastAsia="Times New Roman" w:hAnsi="Arial"/>
      <w:sz w:val="16"/>
      <w:lang w:val="en-GB" w:eastAsia="en-US"/>
    </w:rPr>
  </w:style>
  <w:style w:type="character" w:customStyle="1" w:styleId="TableTextChar">
    <w:name w:val="Table Text Char"/>
    <w:link w:val="TableText"/>
    <w:rsid w:val="001A46FA"/>
    <w:rPr>
      <w:rFonts w:ascii="Arial" w:hAnsi="Arial"/>
      <w:sz w:val="16"/>
      <w:szCs w:val="24"/>
      <w:lang w:val="en-GB"/>
    </w:rPr>
  </w:style>
  <w:style w:type="paragraph" w:styleId="CommentSubject">
    <w:name w:val="annotation subject"/>
    <w:basedOn w:val="CommentText"/>
    <w:next w:val="CommentText"/>
    <w:link w:val="CommentSubjectChar"/>
    <w:semiHidden/>
    <w:unhideWhenUsed/>
    <w:rsid w:val="007F6B50"/>
    <w:rPr>
      <w:rFonts w:ascii="Times New Roman" w:eastAsia="SimSun" w:hAnsi="Times New Roman"/>
      <w:b/>
      <w:bCs/>
      <w:color w:val="auto"/>
      <w:lang w:eastAsia="zh-CN"/>
    </w:rPr>
  </w:style>
  <w:style w:type="character" w:customStyle="1" w:styleId="CommentSubjectChar">
    <w:name w:val="Comment Subject Char"/>
    <w:basedOn w:val="CommentTextChar"/>
    <w:link w:val="CommentSubject"/>
    <w:semiHidden/>
    <w:rsid w:val="007F6B50"/>
    <w:rPr>
      <w:rFonts w:ascii="Palatino" w:eastAsia="SimSun" w:hAnsi="Palatino"/>
      <w:b/>
      <w:bCs/>
      <w:color w:val="000000"/>
      <w:lang w:val="en-US" w:eastAsia="zh-CN" w:bidi="ar-SA"/>
    </w:rPr>
  </w:style>
  <w:style w:type="paragraph" w:customStyle="1" w:styleId="CompanyName">
    <w:name w:val="Company Name"/>
    <w:basedOn w:val="Normal"/>
    <w:next w:val="Normal"/>
    <w:autoRedefine/>
    <w:rsid w:val="007B4E6A"/>
    <w:rPr>
      <w:rFonts w:ascii="Arial" w:eastAsia="Times New Roman" w:hAnsi="Arial"/>
      <w:b/>
      <w:bCs/>
      <w:lang w:eastAsia="en-US"/>
    </w:rPr>
  </w:style>
  <w:style w:type="character" w:styleId="Strong">
    <w:name w:val="Strong"/>
    <w:uiPriority w:val="22"/>
    <w:qFormat/>
    <w:rsid w:val="007B4E6A"/>
    <w:rPr>
      <w:b/>
      <w:bCs/>
    </w:rPr>
  </w:style>
  <w:style w:type="paragraph" w:styleId="Revision">
    <w:name w:val="Revision"/>
    <w:hidden/>
    <w:uiPriority w:val="71"/>
    <w:semiHidden/>
    <w:rsid w:val="00EC69CB"/>
    <w:rPr>
      <w:rFonts w:eastAsia="SimSun"/>
      <w:sz w:val="24"/>
      <w:szCs w:val="24"/>
      <w:lang w:eastAsia="zh-CN"/>
    </w:rPr>
  </w:style>
  <w:style w:type="paragraph" w:styleId="DocumentMap">
    <w:name w:val="Document Map"/>
    <w:basedOn w:val="Normal"/>
    <w:link w:val="DocumentMapChar"/>
    <w:semiHidden/>
    <w:unhideWhenUsed/>
    <w:rsid w:val="00EC69CB"/>
    <w:rPr>
      <w:rFonts w:ascii="Lucida Grande" w:hAnsi="Lucida Grande" w:cs="Lucida Grande"/>
    </w:rPr>
  </w:style>
  <w:style w:type="character" w:customStyle="1" w:styleId="DocumentMapChar">
    <w:name w:val="Document Map Char"/>
    <w:basedOn w:val="DefaultParagraphFont"/>
    <w:link w:val="DocumentMap"/>
    <w:semiHidden/>
    <w:rsid w:val="00EC69CB"/>
    <w:rPr>
      <w:rFonts w:ascii="Lucida Grande" w:eastAsia="SimSun" w:hAnsi="Lucida Grande" w:cs="Lucida Grande"/>
      <w:sz w:val="24"/>
      <w:szCs w:val="24"/>
      <w:lang w:eastAsia="zh-CN"/>
    </w:rPr>
  </w:style>
  <w:style w:type="paragraph" w:customStyle="1" w:styleId="Endnote">
    <w:name w:val="Endnote"/>
    <w:basedOn w:val="EndnoteText"/>
    <w:link w:val="EndnoteChar"/>
    <w:qFormat/>
    <w:rsid w:val="00C604A1"/>
    <w:rPr>
      <w:sz w:val="22"/>
      <w:lang w:val="en-US"/>
    </w:rPr>
  </w:style>
  <w:style w:type="paragraph" w:styleId="Bibliography">
    <w:name w:val="Bibliography"/>
    <w:basedOn w:val="Normal"/>
    <w:next w:val="Normal"/>
    <w:uiPriority w:val="37"/>
    <w:unhideWhenUsed/>
    <w:rsid w:val="000319C9"/>
  </w:style>
  <w:style w:type="character" w:customStyle="1" w:styleId="EndnoteChar">
    <w:name w:val="Endnote Char"/>
    <w:basedOn w:val="EndnoteTextChar"/>
    <w:link w:val="Endnote"/>
    <w:rsid w:val="00C604A1"/>
    <w:rPr>
      <w:rFonts w:ascii="Calibri" w:eastAsia="Times New Roman" w:hAnsi="Calibri" w:cs="Times New Roman"/>
      <w:sz w:val="22"/>
      <w:lang w:val="en-GB" w:bidi="en-US"/>
    </w:rPr>
  </w:style>
  <w:style w:type="paragraph" w:customStyle="1" w:styleId="Char2">
    <w:name w:val="Char2"/>
    <w:basedOn w:val="Normal"/>
    <w:link w:val="FootnoteReference"/>
    <w:uiPriority w:val="99"/>
    <w:rsid w:val="007674FF"/>
    <w:pPr>
      <w:spacing w:before="0" w:after="160" w:line="240" w:lineRule="exact"/>
    </w:pPr>
    <w:rPr>
      <w:rFonts w:ascii="Times New Roman" w:eastAsia="Times New Roman" w:hAnsi="Times New Roman"/>
      <w:sz w:val="20"/>
      <w:szCs w:val="20"/>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3">
      <w:bodyDiv w:val="1"/>
      <w:marLeft w:val="0"/>
      <w:marRight w:val="0"/>
      <w:marTop w:val="0"/>
      <w:marBottom w:val="0"/>
      <w:divBdr>
        <w:top w:val="none" w:sz="0" w:space="0" w:color="auto"/>
        <w:left w:val="none" w:sz="0" w:space="0" w:color="auto"/>
        <w:bottom w:val="none" w:sz="0" w:space="0" w:color="auto"/>
        <w:right w:val="none" w:sz="0" w:space="0" w:color="auto"/>
      </w:divBdr>
    </w:div>
    <w:div w:id="671307">
      <w:bodyDiv w:val="1"/>
      <w:marLeft w:val="0"/>
      <w:marRight w:val="0"/>
      <w:marTop w:val="0"/>
      <w:marBottom w:val="0"/>
      <w:divBdr>
        <w:top w:val="none" w:sz="0" w:space="0" w:color="auto"/>
        <w:left w:val="none" w:sz="0" w:space="0" w:color="auto"/>
        <w:bottom w:val="none" w:sz="0" w:space="0" w:color="auto"/>
        <w:right w:val="none" w:sz="0" w:space="0" w:color="auto"/>
      </w:divBdr>
    </w:div>
    <w:div w:id="8601362">
      <w:bodyDiv w:val="1"/>
      <w:marLeft w:val="0"/>
      <w:marRight w:val="0"/>
      <w:marTop w:val="0"/>
      <w:marBottom w:val="0"/>
      <w:divBdr>
        <w:top w:val="none" w:sz="0" w:space="0" w:color="auto"/>
        <w:left w:val="none" w:sz="0" w:space="0" w:color="auto"/>
        <w:bottom w:val="none" w:sz="0" w:space="0" w:color="auto"/>
        <w:right w:val="none" w:sz="0" w:space="0" w:color="auto"/>
      </w:divBdr>
    </w:div>
    <w:div w:id="23480390">
      <w:bodyDiv w:val="1"/>
      <w:marLeft w:val="0"/>
      <w:marRight w:val="0"/>
      <w:marTop w:val="0"/>
      <w:marBottom w:val="0"/>
      <w:divBdr>
        <w:top w:val="none" w:sz="0" w:space="0" w:color="auto"/>
        <w:left w:val="none" w:sz="0" w:space="0" w:color="auto"/>
        <w:bottom w:val="none" w:sz="0" w:space="0" w:color="auto"/>
        <w:right w:val="none" w:sz="0" w:space="0" w:color="auto"/>
      </w:divBdr>
    </w:div>
    <w:div w:id="52002635">
      <w:bodyDiv w:val="1"/>
      <w:marLeft w:val="0"/>
      <w:marRight w:val="0"/>
      <w:marTop w:val="0"/>
      <w:marBottom w:val="0"/>
      <w:divBdr>
        <w:top w:val="none" w:sz="0" w:space="0" w:color="auto"/>
        <w:left w:val="none" w:sz="0" w:space="0" w:color="auto"/>
        <w:bottom w:val="none" w:sz="0" w:space="0" w:color="auto"/>
        <w:right w:val="none" w:sz="0" w:space="0" w:color="auto"/>
      </w:divBdr>
    </w:div>
    <w:div w:id="54813983">
      <w:bodyDiv w:val="1"/>
      <w:marLeft w:val="0"/>
      <w:marRight w:val="0"/>
      <w:marTop w:val="0"/>
      <w:marBottom w:val="0"/>
      <w:divBdr>
        <w:top w:val="none" w:sz="0" w:space="0" w:color="auto"/>
        <w:left w:val="none" w:sz="0" w:space="0" w:color="auto"/>
        <w:bottom w:val="none" w:sz="0" w:space="0" w:color="auto"/>
        <w:right w:val="none" w:sz="0" w:space="0" w:color="auto"/>
      </w:divBdr>
    </w:div>
    <w:div w:id="134838755">
      <w:bodyDiv w:val="1"/>
      <w:marLeft w:val="0"/>
      <w:marRight w:val="0"/>
      <w:marTop w:val="0"/>
      <w:marBottom w:val="0"/>
      <w:divBdr>
        <w:top w:val="none" w:sz="0" w:space="0" w:color="auto"/>
        <w:left w:val="none" w:sz="0" w:space="0" w:color="auto"/>
        <w:bottom w:val="none" w:sz="0" w:space="0" w:color="auto"/>
        <w:right w:val="none" w:sz="0" w:space="0" w:color="auto"/>
      </w:divBdr>
      <w:divsChild>
        <w:div w:id="1355301833">
          <w:marLeft w:val="0"/>
          <w:marRight w:val="0"/>
          <w:marTop w:val="0"/>
          <w:marBottom w:val="0"/>
          <w:divBdr>
            <w:top w:val="none" w:sz="0" w:space="0" w:color="auto"/>
            <w:left w:val="none" w:sz="0" w:space="0" w:color="auto"/>
            <w:bottom w:val="none" w:sz="0" w:space="0" w:color="auto"/>
            <w:right w:val="none" w:sz="0" w:space="0" w:color="auto"/>
          </w:divBdr>
          <w:divsChild>
            <w:div w:id="796535286">
              <w:marLeft w:val="0"/>
              <w:marRight w:val="0"/>
              <w:marTop w:val="0"/>
              <w:marBottom w:val="0"/>
              <w:divBdr>
                <w:top w:val="none" w:sz="0" w:space="0" w:color="auto"/>
                <w:left w:val="none" w:sz="0" w:space="0" w:color="auto"/>
                <w:bottom w:val="none" w:sz="0" w:space="0" w:color="auto"/>
                <w:right w:val="none" w:sz="0" w:space="0" w:color="auto"/>
              </w:divBdr>
              <w:divsChild>
                <w:div w:id="1628318634">
                  <w:marLeft w:val="0"/>
                  <w:marRight w:val="0"/>
                  <w:marTop w:val="0"/>
                  <w:marBottom w:val="0"/>
                  <w:divBdr>
                    <w:top w:val="none" w:sz="0" w:space="0" w:color="auto"/>
                    <w:left w:val="none" w:sz="0" w:space="0" w:color="auto"/>
                    <w:bottom w:val="none" w:sz="0" w:space="0" w:color="auto"/>
                    <w:right w:val="none" w:sz="0" w:space="0" w:color="auto"/>
                  </w:divBdr>
                  <w:divsChild>
                    <w:div w:id="4910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1466">
      <w:bodyDiv w:val="1"/>
      <w:marLeft w:val="0"/>
      <w:marRight w:val="0"/>
      <w:marTop w:val="0"/>
      <w:marBottom w:val="0"/>
      <w:divBdr>
        <w:top w:val="none" w:sz="0" w:space="0" w:color="auto"/>
        <w:left w:val="none" w:sz="0" w:space="0" w:color="auto"/>
        <w:bottom w:val="none" w:sz="0" w:space="0" w:color="auto"/>
        <w:right w:val="none" w:sz="0" w:space="0" w:color="auto"/>
      </w:divBdr>
    </w:div>
    <w:div w:id="177815242">
      <w:bodyDiv w:val="1"/>
      <w:marLeft w:val="0"/>
      <w:marRight w:val="0"/>
      <w:marTop w:val="0"/>
      <w:marBottom w:val="0"/>
      <w:divBdr>
        <w:top w:val="none" w:sz="0" w:space="0" w:color="auto"/>
        <w:left w:val="none" w:sz="0" w:space="0" w:color="auto"/>
        <w:bottom w:val="none" w:sz="0" w:space="0" w:color="auto"/>
        <w:right w:val="none" w:sz="0" w:space="0" w:color="auto"/>
      </w:divBdr>
    </w:div>
    <w:div w:id="180634454">
      <w:bodyDiv w:val="1"/>
      <w:marLeft w:val="0"/>
      <w:marRight w:val="0"/>
      <w:marTop w:val="0"/>
      <w:marBottom w:val="0"/>
      <w:divBdr>
        <w:top w:val="none" w:sz="0" w:space="0" w:color="auto"/>
        <w:left w:val="none" w:sz="0" w:space="0" w:color="auto"/>
        <w:bottom w:val="none" w:sz="0" w:space="0" w:color="auto"/>
        <w:right w:val="none" w:sz="0" w:space="0" w:color="auto"/>
      </w:divBdr>
    </w:div>
    <w:div w:id="234366980">
      <w:bodyDiv w:val="1"/>
      <w:marLeft w:val="0"/>
      <w:marRight w:val="0"/>
      <w:marTop w:val="0"/>
      <w:marBottom w:val="0"/>
      <w:divBdr>
        <w:top w:val="none" w:sz="0" w:space="0" w:color="auto"/>
        <w:left w:val="none" w:sz="0" w:space="0" w:color="auto"/>
        <w:bottom w:val="none" w:sz="0" w:space="0" w:color="auto"/>
        <w:right w:val="none" w:sz="0" w:space="0" w:color="auto"/>
      </w:divBdr>
    </w:div>
    <w:div w:id="273757000">
      <w:bodyDiv w:val="1"/>
      <w:marLeft w:val="0"/>
      <w:marRight w:val="0"/>
      <w:marTop w:val="0"/>
      <w:marBottom w:val="0"/>
      <w:divBdr>
        <w:top w:val="none" w:sz="0" w:space="0" w:color="auto"/>
        <w:left w:val="none" w:sz="0" w:space="0" w:color="auto"/>
        <w:bottom w:val="none" w:sz="0" w:space="0" w:color="auto"/>
        <w:right w:val="none" w:sz="0" w:space="0" w:color="auto"/>
      </w:divBdr>
    </w:div>
    <w:div w:id="314381421">
      <w:bodyDiv w:val="1"/>
      <w:marLeft w:val="0"/>
      <w:marRight w:val="0"/>
      <w:marTop w:val="0"/>
      <w:marBottom w:val="0"/>
      <w:divBdr>
        <w:top w:val="none" w:sz="0" w:space="0" w:color="auto"/>
        <w:left w:val="none" w:sz="0" w:space="0" w:color="auto"/>
        <w:bottom w:val="none" w:sz="0" w:space="0" w:color="auto"/>
        <w:right w:val="none" w:sz="0" w:space="0" w:color="auto"/>
      </w:divBdr>
    </w:div>
    <w:div w:id="329717645">
      <w:bodyDiv w:val="1"/>
      <w:marLeft w:val="0"/>
      <w:marRight w:val="0"/>
      <w:marTop w:val="0"/>
      <w:marBottom w:val="0"/>
      <w:divBdr>
        <w:top w:val="none" w:sz="0" w:space="0" w:color="auto"/>
        <w:left w:val="none" w:sz="0" w:space="0" w:color="auto"/>
        <w:bottom w:val="none" w:sz="0" w:space="0" w:color="auto"/>
        <w:right w:val="none" w:sz="0" w:space="0" w:color="auto"/>
      </w:divBdr>
    </w:div>
    <w:div w:id="375474596">
      <w:bodyDiv w:val="1"/>
      <w:marLeft w:val="0"/>
      <w:marRight w:val="0"/>
      <w:marTop w:val="0"/>
      <w:marBottom w:val="0"/>
      <w:divBdr>
        <w:top w:val="none" w:sz="0" w:space="0" w:color="auto"/>
        <w:left w:val="none" w:sz="0" w:space="0" w:color="auto"/>
        <w:bottom w:val="none" w:sz="0" w:space="0" w:color="auto"/>
        <w:right w:val="none" w:sz="0" w:space="0" w:color="auto"/>
      </w:divBdr>
      <w:divsChild>
        <w:div w:id="1263565970">
          <w:marLeft w:val="0"/>
          <w:marRight w:val="0"/>
          <w:marTop w:val="0"/>
          <w:marBottom w:val="0"/>
          <w:divBdr>
            <w:top w:val="none" w:sz="0" w:space="0" w:color="auto"/>
            <w:left w:val="none" w:sz="0" w:space="0" w:color="auto"/>
            <w:bottom w:val="none" w:sz="0" w:space="0" w:color="auto"/>
            <w:right w:val="none" w:sz="0" w:space="0" w:color="auto"/>
          </w:divBdr>
          <w:divsChild>
            <w:div w:id="1081873134">
              <w:marLeft w:val="0"/>
              <w:marRight w:val="0"/>
              <w:marTop w:val="0"/>
              <w:marBottom w:val="0"/>
              <w:divBdr>
                <w:top w:val="none" w:sz="0" w:space="0" w:color="auto"/>
                <w:left w:val="none" w:sz="0" w:space="0" w:color="auto"/>
                <w:bottom w:val="none" w:sz="0" w:space="0" w:color="auto"/>
                <w:right w:val="none" w:sz="0" w:space="0" w:color="auto"/>
              </w:divBdr>
              <w:divsChild>
                <w:div w:id="142685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47064">
      <w:bodyDiv w:val="1"/>
      <w:marLeft w:val="0"/>
      <w:marRight w:val="0"/>
      <w:marTop w:val="0"/>
      <w:marBottom w:val="0"/>
      <w:divBdr>
        <w:top w:val="none" w:sz="0" w:space="0" w:color="auto"/>
        <w:left w:val="none" w:sz="0" w:space="0" w:color="auto"/>
        <w:bottom w:val="none" w:sz="0" w:space="0" w:color="auto"/>
        <w:right w:val="none" w:sz="0" w:space="0" w:color="auto"/>
      </w:divBdr>
      <w:divsChild>
        <w:div w:id="849216980">
          <w:marLeft w:val="0"/>
          <w:marRight w:val="0"/>
          <w:marTop w:val="0"/>
          <w:marBottom w:val="0"/>
          <w:divBdr>
            <w:top w:val="none" w:sz="0" w:space="0" w:color="auto"/>
            <w:left w:val="none" w:sz="0" w:space="0" w:color="auto"/>
            <w:bottom w:val="none" w:sz="0" w:space="0" w:color="auto"/>
            <w:right w:val="none" w:sz="0" w:space="0" w:color="auto"/>
          </w:divBdr>
          <w:divsChild>
            <w:div w:id="387921842">
              <w:marLeft w:val="0"/>
              <w:marRight w:val="0"/>
              <w:marTop w:val="0"/>
              <w:marBottom w:val="0"/>
              <w:divBdr>
                <w:top w:val="none" w:sz="0" w:space="0" w:color="auto"/>
                <w:left w:val="none" w:sz="0" w:space="0" w:color="auto"/>
                <w:bottom w:val="none" w:sz="0" w:space="0" w:color="auto"/>
                <w:right w:val="none" w:sz="0" w:space="0" w:color="auto"/>
              </w:divBdr>
              <w:divsChild>
                <w:div w:id="9757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5332">
      <w:bodyDiv w:val="1"/>
      <w:marLeft w:val="0"/>
      <w:marRight w:val="0"/>
      <w:marTop w:val="0"/>
      <w:marBottom w:val="0"/>
      <w:divBdr>
        <w:top w:val="none" w:sz="0" w:space="0" w:color="auto"/>
        <w:left w:val="none" w:sz="0" w:space="0" w:color="auto"/>
        <w:bottom w:val="none" w:sz="0" w:space="0" w:color="auto"/>
        <w:right w:val="none" w:sz="0" w:space="0" w:color="auto"/>
      </w:divBdr>
    </w:div>
    <w:div w:id="503741722">
      <w:bodyDiv w:val="1"/>
      <w:marLeft w:val="0"/>
      <w:marRight w:val="0"/>
      <w:marTop w:val="0"/>
      <w:marBottom w:val="0"/>
      <w:divBdr>
        <w:top w:val="none" w:sz="0" w:space="0" w:color="auto"/>
        <w:left w:val="none" w:sz="0" w:space="0" w:color="auto"/>
        <w:bottom w:val="none" w:sz="0" w:space="0" w:color="auto"/>
        <w:right w:val="none" w:sz="0" w:space="0" w:color="auto"/>
      </w:divBdr>
    </w:div>
    <w:div w:id="527371927">
      <w:bodyDiv w:val="1"/>
      <w:marLeft w:val="0"/>
      <w:marRight w:val="0"/>
      <w:marTop w:val="0"/>
      <w:marBottom w:val="0"/>
      <w:divBdr>
        <w:top w:val="none" w:sz="0" w:space="0" w:color="auto"/>
        <w:left w:val="none" w:sz="0" w:space="0" w:color="auto"/>
        <w:bottom w:val="none" w:sz="0" w:space="0" w:color="auto"/>
        <w:right w:val="none" w:sz="0" w:space="0" w:color="auto"/>
      </w:divBdr>
    </w:div>
    <w:div w:id="531841306">
      <w:bodyDiv w:val="1"/>
      <w:marLeft w:val="0"/>
      <w:marRight w:val="0"/>
      <w:marTop w:val="0"/>
      <w:marBottom w:val="0"/>
      <w:divBdr>
        <w:top w:val="none" w:sz="0" w:space="0" w:color="auto"/>
        <w:left w:val="none" w:sz="0" w:space="0" w:color="auto"/>
        <w:bottom w:val="none" w:sz="0" w:space="0" w:color="auto"/>
        <w:right w:val="none" w:sz="0" w:space="0" w:color="auto"/>
      </w:divBdr>
      <w:divsChild>
        <w:div w:id="2113158129">
          <w:marLeft w:val="1166"/>
          <w:marRight w:val="0"/>
          <w:marTop w:val="134"/>
          <w:marBottom w:val="0"/>
          <w:divBdr>
            <w:top w:val="none" w:sz="0" w:space="0" w:color="auto"/>
            <w:left w:val="none" w:sz="0" w:space="0" w:color="auto"/>
            <w:bottom w:val="none" w:sz="0" w:space="0" w:color="auto"/>
            <w:right w:val="none" w:sz="0" w:space="0" w:color="auto"/>
          </w:divBdr>
        </w:div>
      </w:divsChild>
    </w:div>
    <w:div w:id="547569674">
      <w:bodyDiv w:val="1"/>
      <w:marLeft w:val="0"/>
      <w:marRight w:val="0"/>
      <w:marTop w:val="0"/>
      <w:marBottom w:val="0"/>
      <w:divBdr>
        <w:top w:val="none" w:sz="0" w:space="0" w:color="auto"/>
        <w:left w:val="none" w:sz="0" w:space="0" w:color="auto"/>
        <w:bottom w:val="none" w:sz="0" w:space="0" w:color="auto"/>
        <w:right w:val="none" w:sz="0" w:space="0" w:color="auto"/>
      </w:divBdr>
    </w:div>
    <w:div w:id="602104997">
      <w:bodyDiv w:val="1"/>
      <w:marLeft w:val="0"/>
      <w:marRight w:val="0"/>
      <w:marTop w:val="0"/>
      <w:marBottom w:val="0"/>
      <w:divBdr>
        <w:top w:val="none" w:sz="0" w:space="0" w:color="auto"/>
        <w:left w:val="none" w:sz="0" w:space="0" w:color="auto"/>
        <w:bottom w:val="none" w:sz="0" w:space="0" w:color="auto"/>
        <w:right w:val="none" w:sz="0" w:space="0" w:color="auto"/>
      </w:divBdr>
    </w:div>
    <w:div w:id="637493040">
      <w:bodyDiv w:val="1"/>
      <w:marLeft w:val="0"/>
      <w:marRight w:val="0"/>
      <w:marTop w:val="0"/>
      <w:marBottom w:val="0"/>
      <w:divBdr>
        <w:top w:val="none" w:sz="0" w:space="0" w:color="auto"/>
        <w:left w:val="none" w:sz="0" w:space="0" w:color="auto"/>
        <w:bottom w:val="none" w:sz="0" w:space="0" w:color="auto"/>
        <w:right w:val="none" w:sz="0" w:space="0" w:color="auto"/>
      </w:divBdr>
    </w:div>
    <w:div w:id="687800326">
      <w:bodyDiv w:val="1"/>
      <w:marLeft w:val="0"/>
      <w:marRight w:val="0"/>
      <w:marTop w:val="0"/>
      <w:marBottom w:val="0"/>
      <w:divBdr>
        <w:top w:val="none" w:sz="0" w:space="0" w:color="auto"/>
        <w:left w:val="none" w:sz="0" w:space="0" w:color="auto"/>
        <w:bottom w:val="none" w:sz="0" w:space="0" w:color="auto"/>
        <w:right w:val="none" w:sz="0" w:space="0" w:color="auto"/>
      </w:divBdr>
    </w:div>
    <w:div w:id="699597953">
      <w:bodyDiv w:val="1"/>
      <w:marLeft w:val="0"/>
      <w:marRight w:val="0"/>
      <w:marTop w:val="0"/>
      <w:marBottom w:val="0"/>
      <w:divBdr>
        <w:top w:val="none" w:sz="0" w:space="0" w:color="auto"/>
        <w:left w:val="none" w:sz="0" w:space="0" w:color="auto"/>
        <w:bottom w:val="none" w:sz="0" w:space="0" w:color="auto"/>
        <w:right w:val="none" w:sz="0" w:space="0" w:color="auto"/>
      </w:divBdr>
    </w:div>
    <w:div w:id="722027068">
      <w:bodyDiv w:val="1"/>
      <w:marLeft w:val="0"/>
      <w:marRight w:val="0"/>
      <w:marTop w:val="0"/>
      <w:marBottom w:val="0"/>
      <w:divBdr>
        <w:top w:val="none" w:sz="0" w:space="0" w:color="auto"/>
        <w:left w:val="none" w:sz="0" w:space="0" w:color="auto"/>
        <w:bottom w:val="none" w:sz="0" w:space="0" w:color="auto"/>
        <w:right w:val="none" w:sz="0" w:space="0" w:color="auto"/>
      </w:divBdr>
    </w:div>
    <w:div w:id="729426713">
      <w:bodyDiv w:val="1"/>
      <w:marLeft w:val="0"/>
      <w:marRight w:val="0"/>
      <w:marTop w:val="0"/>
      <w:marBottom w:val="0"/>
      <w:divBdr>
        <w:top w:val="none" w:sz="0" w:space="0" w:color="auto"/>
        <w:left w:val="none" w:sz="0" w:space="0" w:color="auto"/>
        <w:bottom w:val="none" w:sz="0" w:space="0" w:color="auto"/>
        <w:right w:val="none" w:sz="0" w:space="0" w:color="auto"/>
      </w:divBdr>
    </w:div>
    <w:div w:id="730151279">
      <w:bodyDiv w:val="1"/>
      <w:marLeft w:val="0"/>
      <w:marRight w:val="0"/>
      <w:marTop w:val="0"/>
      <w:marBottom w:val="0"/>
      <w:divBdr>
        <w:top w:val="none" w:sz="0" w:space="0" w:color="auto"/>
        <w:left w:val="none" w:sz="0" w:space="0" w:color="auto"/>
        <w:bottom w:val="none" w:sz="0" w:space="0" w:color="auto"/>
        <w:right w:val="none" w:sz="0" w:space="0" w:color="auto"/>
      </w:divBdr>
    </w:div>
    <w:div w:id="732168360">
      <w:bodyDiv w:val="1"/>
      <w:marLeft w:val="0"/>
      <w:marRight w:val="0"/>
      <w:marTop w:val="0"/>
      <w:marBottom w:val="0"/>
      <w:divBdr>
        <w:top w:val="none" w:sz="0" w:space="0" w:color="auto"/>
        <w:left w:val="none" w:sz="0" w:space="0" w:color="auto"/>
        <w:bottom w:val="none" w:sz="0" w:space="0" w:color="auto"/>
        <w:right w:val="none" w:sz="0" w:space="0" w:color="auto"/>
      </w:divBdr>
    </w:div>
    <w:div w:id="780800614">
      <w:bodyDiv w:val="1"/>
      <w:marLeft w:val="0"/>
      <w:marRight w:val="0"/>
      <w:marTop w:val="0"/>
      <w:marBottom w:val="0"/>
      <w:divBdr>
        <w:top w:val="none" w:sz="0" w:space="0" w:color="auto"/>
        <w:left w:val="none" w:sz="0" w:space="0" w:color="auto"/>
        <w:bottom w:val="none" w:sz="0" w:space="0" w:color="auto"/>
        <w:right w:val="none" w:sz="0" w:space="0" w:color="auto"/>
      </w:divBdr>
      <w:divsChild>
        <w:div w:id="1518930078">
          <w:marLeft w:val="0"/>
          <w:marRight w:val="0"/>
          <w:marTop w:val="0"/>
          <w:marBottom w:val="0"/>
          <w:divBdr>
            <w:top w:val="none" w:sz="0" w:space="0" w:color="auto"/>
            <w:left w:val="none" w:sz="0" w:space="0" w:color="auto"/>
            <w:bottom w:val="none" w:sz="0" w:space="0" w:color="auto"/>
            <w:right w:val="none" w:sz="0" w:space="0" w:color="auto"/>
          </w:divBdr>
          <w:divsChild>
            <w:div w:id="1550609481">
              <w:marLeft w:val="0"/>
              <w:marRight w:val="0"/>
              <w:marTop w:val="0"/>
              <w:marBottom w:val="0"/>
              <w:divBdr>
                <w:top w:val="none" w:sz="0" w:space="0" w:color="auto"/>
                <w:left w:val="none" w:sz="0" w:space="0" w:color="auto"/>
                <w:bottom w:val="none" w:sz="0" w:space="0" w:color="auto"/>
                <w:right w:val="none" w:sz="0" w:space="0" w:color="auto"/>
              </w:divBdr>
              <w:divsChild>
                <w:div w:id="264845175">
                  <w:marLeft w:val="0"/>
                  <w:marRight w:val="0"/>
                  <w:marTop w:val="0"/>
                  <w:marBottom w:val="0"/>
                  <w:divBdr>
                    <w:top w:val="none" w:sz="0" w:space="0" w:color="auto"/>
                    <w:left w:val="none" w:sz="0" w:space="0" w:color="auto"/>
                    <w:bottom w:val="none" w:sz="0" w:space="0" w:color="auto"/>
                    <w:right w:val="none" w:sz="0" w:space="0" w:color="auto"/>
                  </w:divBdr>
                  <w:divsChild>
                    <w:div w:id="185764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768657">
      <w:bodyDiv w:val="1"/>
      <w:marLeft w:val="0"/>
      <w:marRight w:val="0"/>
      <w:marTop w:val="0"/>
      <w:marBottom w:val="0"/>
      <w:divBdr>
        <w:top w:val="none" w:sz="0" w:space="0" w:color="auto"/>
        <w:left w:val="none" w:sz="0" w:space="0" w:color="auto"/>
        <w:bottom w:val="none" w:sz="0" w:space="0" w:color="auto"/>
        <w:right w:val="none" w:sz="0" w:space="0" w:color="auto"/>
      </w:divBdr>
    </w:div>
    <w:div w:id="847212420">
      <w:bodyDiv w:val="1"/>
      <w:marLeft w:val="0"/>
      <w:marRight w:val="0"/>
      <w:marTop w:val="0"/>
      <w:marBottom w:val="0"/>
      <w:divBdr>
        <w:top w:val="none" w:sz="0" w:space="0" w:color="auto"/>
        <w:left w:val="none" w:sz="0" w:space="0" w:color="auto"/>
        <w:bottom w:val="none" w:sz="0" w:space="0" w:color="auto"/>
        <w:right w:val="none" w:sz="0" w:space="0" w:color="auto"/>
      </w:divBdr>
    </w:div>
    <w:div w:id="867109541">
      <w:bodyDiv w:val="1"/>
      <w:marLeft w:val="0"/>
      <w:marRight w:val="0"/>
      <w:marTop w:val="0"/>
      <w:marBottom w:val="0"/>
      <w:divBdr>
        <w:top w:val="none" w:sz="0" w:space="0" w:color="auto"/>
        <w:left w:val="none" w:sz="0" w:space="0" w:color="auto"/>
        <w:bottom w:val="none" w:sz="0" w:space="0" w:color="auto"/>
        <w:right w:val="none" w:sz="0" w:space="0" w:color="auto"/>
      </w:divBdr>
    </w:div>
    <w:div w:id="880288366">
      <w:bodyDiv w:val="1"/>
      <w:marLeft w:val="0"/>
      <w:marRight w:val="0"/>
      <w:marTop w:val="0"/>
      <w:marBottom w:val="0"/>
      <w:divBdr>
        <w:top w:val="none" w:sz="0" w:space="0" w:color="auto"/>
        <w:left w:val="none" w:sz="0" w:space="0" w:color="auto"/>
        <w:bottom w:val="none" w:sz="0" w:space="0" w:color="auto"/>
        <w:right w:val="none" w:sz="0" w:space="0" w:color="auto"/>
      </w:divBdr>
    </w:div>
    <w:div w:id="884490399">
      <w:bodyDiv w:val="1"/>
      <w:marLeft w:val="0"/>
      <w:marRight w:val="0"/>
      <w:marTop w:val="0"/>
      <w:marBottom w:val="0"/>
      <w:divBdr>
        <w:top w:val="none" w:sz="0" w:space="0" w:color="auto"/>
        <w:left w:val="none" w:sz="0" w:space="0" w:color="auto"/>
        <w:bottom w:val="none" w:sz="0" w:space="0" w:color="auto"/>
        <w:right w:val="none" w:sz="0" w:space="0" w:color="auto"/>
      </w:divBdr>
    </w:div>
    <w:div w:id="930431132">
      <w:bodyDiv w:val="1"/>
      <w:marLeft w:val="0"/>
      <w:marRight w:val="0"/>
      <w:marTop w:val="0"/>
      <w:marBottom w:val="0"/>
      <w:divBdr>
        <w:top w:val="none" w:sz="0" w:space="0" w:color="auto"/>
        <w:left w:val="none" w:sz="0" w:space="0" w:color="auto"/>
        <w:bottom w:val="none" w:sz="0" w:space="0" w:color="auto"/>
        <w:right w:val="none" w:sz="0" w:space="0" w:color="auto"/>
      </w:divBdr>
    </w:div>
    <w:div w:id="932973964">
      <w:bodyDiv w:val="1"/>
      <w:marLeft w:val="0"/>
      <w:marRight w:val="0"/>
      <w:marTop w:val="0"/>
      <w:marBottom w:val="0"/>
      <w:divBdr>
        <w:top w:val="none" w:sz="0" w:space="0" w:color="auto"/>
        <w:left w:val="none" w:sz="0" w:space="0" w:color="auto"/>
        <w:bottom w:val="none" w:sz="0" w:space="0" w:color="auto"/>
        <w:right w:val="none" w:sz="0" w:space="0" w:color="auto"/>
      </w:divBdr>
    </w:div>
    <w:div w:id="935675787">
      <w:bodyDiv w:val="1"/>
      <w:marLeft w:val="0"/>
      <w:marRight w:val="0"/>
      <w:marTop w:val="0"/>
      <w:marBottom w:val="0"/>
      <w:divBdr>
        <w:top w:val="none" w:sz="0" w:space="0" w:color="auto"/>
        <w:left w:val="none" w:sz="0" w:space="0" w:color="auto"/>
        <w:bottom w:val="none" w:sz="0" w:space="0" w:color="auto"/>
        <w:right w:val="none" w:sz="0" w:space="0" w:color="auto"/>
      </w:divBdr>
    </w:div>
    <w:div w:id="956792036">
      <w:bodyDiv w:val="1"/>
      <w:marLeft w:val="0"/>
      <w:marRight w:val="0"/>
      <w:marTop w:val="0"/>
      <w:marBottom w:val="0"/>
      <w:divBdr>
        <w:top w:val="none" w:sz="0" w:space="0" w:color="auto"/>
        <w:left w:val="none" w:sz="0" w:space="0" w:color="auto"/>
        <w:bottom w:val="none" w:sz="0" w:space="0" w:color="auto"/>
        <w:right w:val="none" w:sz="0" w:space="0" w:color="auto"/>
      </w:divBdr>
    </w:div>
    <w:div w:id="957028360">
      <w:bodyDiv w:val="1"/>
      <w:marLeft w:val="0"/>
      <w:marRight w:val="0"/>
      <w:marTop w:val="0"/>
      <w:marBottom w:val="0"/>
      <w:divBdr>
        <w:top w:val="none" w:sz="0" w:space="0" w:color="auto"/>
        <w:left w:val="none" w:sz="0" w:space="0" w:color="auto"/>
        <w:bottom w:val="none" w:sz="0" w:space="0" w:color="auto"/>
        <w:right w:val="none" w:sz="0" w:space="0" w:color="auto"/>
      </w:divBdr>
    </w:div>
    <w:div w:id="973684090">
      <w:bodyDiv w:val="1"/>
      <w:marLeft w:val="0"/>
      <w:marRight w:val="0"/>
      <w:marTop w:val="0"/>
      <w:marBottom w:val="0"/>
      <w:divBdr>
        <w:top w:val="none" w:sz="0" w:space="0" w:color="auto"/>
        <w:left w:val="none" w:sz="0" w:space="0" w:color="auto"/>
        <w:bottom w:val="none" w:sz="0" w:space="0" w:color="auto"/>
        <w:right w:val="none" w:sz="0" w:space="0" w:color="auto"/>
      </w:divBdr>
    </w:div>
    <w:div w:id="999963772">
      <w:bodyDiv w:val="1"/>
      <w:marLeft w:val="0"/>
      <w:marRight w:val="0"/>
      <w:marTop w:val="0"/>
      <w:marBottom w:val="0"/>
      <w:divBdr>
        <w:top w:val="none" w:sz="0" w:space="0" w:color="auto"/>
        <w:left w:val="none" w:sz="0" w:space="0" w:color="auto"/>
        <w:bottom w:val="none" w:sz="0" w:space="0" w:color="auto"/>
        <w:right w:val="none" w:sz="0" w:space="0" w:color="auto"/>
      </w:divBdr>
    </w:div>
    <w:div w:id="1049768655">
      <w:bodyDiv w:val="1"/>
      <w:marLeft w:val="0"/>
      <w:marRight w:val="0"/>
      <w:marTop w:val="0"/>
      <w:marBottom w:val="0"/>
      <w:divBdr>
        <w:top w:val="none" w:sz="0" w:space="0" w:color="auto"/>
        <w:left w:val="none" w:sz="0" w:space="0" w:color="auto"/>
        <w:bottom w:val="none" w:sz="0" w:space="0" w:color="auto"/>
        <w:right w:val="none" w:sz="0" w:space="0" w:color="auto"/>
      </w:divBdr>
      <w:divsChild>
        <w:div w:id="1998917308">
          <w:marLeft w:val="0"/>
          <w:marRight w:val="0"/>
          <w:marTop w:val="0"/>
          <w:marBottom w:val="0"/>
          <w:divBdr>
            <w:top w:val="none" w:sz="0" w:space="0" w:color="auto"/>
            <w:left w:val="none" w:sz="0" w:space="0" w:color="auto"/>
            <w:bottom w:val="none" w:sz="0" w:space="0" w:color="auto"/>
            <w:right w:val="none" w:sz="0" w:space="0" w:color="auto"/>
          </w:divBdr>
          <w:divsChild>
            <w:div w:id="192690443">
              <w:marLeft w:val="0"/>
              <w:marRight w:val="0"/>
              <w:marTop w:val="0"/>
              <w:marBottom w:val="0"/>
              <w:divBdr>
                <w:top w:val="none" w:sz="0" w:space="0" w:color="auto"/>
                <w:left w:val="none" w:sz="0" w:space="0" w:color="auto"/>
                <w:bottom w:val="none" w:sz="0" w:space="0" w:color="auto"/>
                <w:right w:val="none" w:sz="0" w:space="0" w:color="auto"/>
              </w:divBdr>
              <w:divsChild>
                <w:div w:id="1146123843">
                  <w:marLeft w:val="0"/>
                  <w:marRight w:val="0"/>
                  <w:marTop w:val="0"/>
                  <w:marBottom w:val="0"/>
                  <w:divBdr>
                    <w:top w:val="none" w:sz="0" w:space="0" w:color="auto"/>
                    <w:left w:val="none" w:sz="0" w:space="0" w:color="auto"/>
                    <w:bottom w:val="none" w:sz="0" w:space="0" w:color="auto"/>
                    <w:right w:val="none" w:sz="0" w:space="0" w:color="auto"/>
                  </w:divBdr>
                  <w:divsChild>
                    <w:div w:id="163382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593676">
      <w:bodyDiv w:val="1"/>
      <w:marLeft w:val="0"/>
      <w:marRight w:val="0"/>
      <w:marTop w:val="0"/>
      <w:marBottom w:val="0"/>
      <w:divBdr>
        <w:top w:val="none" w:sz="0" w:space="0" w:color="auto"/>
        <w:left w:val="none" w:sz="0" w:space="0" w:color="auto"/>
        <w:bottom w:val="none" w:sz="0" w:space="0" w:color="auto"/>
        <w:right w:val="none" w:sz="0" w:space="0" w:color="auto"/>
      </w:divBdr>
    </w:div>
    <w:div w:id="1068917394">
      <w:bodyDiv w:val="1"/>
      <w:marLeft w:val="0"/>
      <w:marRight w:val="0"/>
      <w:marTop w:val="0"/>
      <w:marBottom w:val="0"/>
      <w:divBdr>
        <w:top w:val="none" w:sz="0" w:space="0" w:color="auto"/>
        <w:left w:val="none" w:sz="0" w:space="0" w:color="auto"/>
        <w:bottom w:val="none" w:sz="0" w:space="0" w:color="auto"/>
        <w:right w:val="none" w:sz="0" w:space="0" w:color="auto"/>
      </w:divBdr>
    </w:div>
    <w:div w:id="1110931443">
      <w:bodyDiv w:val="1"/>
      <w:marLeft w:val="0"/>
      <w:marRight w:val="0"/>
      <w:marTop w:val="0"/>
      <w:marBottom w:val="0"/>
      <w:divBdr>
        <w:top w:val="none" w:sz="0" w:space="0" w:color="auto"/>
        <w:left w:val="none" w:sz="0" w:space="0" w:color="auto"/>
        <w:bottom w:val="none" w:sz="0" w:space="0" w:color="auto"/>
        <w:right w:val="none" w:sz="0" w:space="0" w:color="auto"/>
      </w:divBdr>
    </w:div>
    <w:div w:id="1134983872">
      <w:bodyDiv w:val="1"/>
      <w:marLeft w:val="0"/>
      <w:marRight w:val="0"/>
      <w:marTop w:val="0"/>
      <w:marBottom w:val="0"/>
      <w:divBdr>
        <w:top w:val="none" w:sz="0" w:space="0" w:color="auto"/>
        <w:left w:val="none" w:sz="0" w:space="0" w:color="auto"/>
        <w:bottom w:val="none" w:sz="0" w:space="0" w:color="auto"/>
        <w:right w:val="none" w:sz="0" w:space="0" w:color="auto"/>
      </w:divBdr>
    </w:div>
    <w:div w:id="1158425404">
      <w:bodyDiv w:val="1"/>
      <w:marLeft w:val="0"/>
      <w:marRight w:val="0"/>
      <w:marTop w:val="0"/>
      <w:marBottom w:val="0"/>
      <w:divBdr>
        <w:top w:val="none" w:sz="0" w:space="0" w:color="auto"/>
        <w:left w:val="none" w:sz="0" w:space="0" w:color="auto"/>
        <w:bottom w:val="none" w:sz="0" w:space="0" w:color="auto"/>
        <w:right w:val="none" w:sz="0" w:space="0" w:color="auto"/>
      </w:divBdr>
      <w:divsChild>
        <w:div w:id="1979646371">
          <w:marLeft w:val="0"/>
          <w:marRight w:val="0"/>
          <w:marTop w:val="0"/>
          <w:marBottom w:val="0"/>
          <w:divBdr>
            <w:top w:val="none" w:sz="0" w:space="0" w:color="auto"/>
            <w:left w:val="none" w:sz="0" w:space="0" w:color="auto"/>
            <w:bottom w:val="none" w:sz="0" w:space="0" w:color="auto"/>
            <w:right w:val="none" w:sz="0" w:space="0" w:color="auto"/>
          </w:divBdr>
          <w:divsChild>
            <w:div w:id="495532449">
              <w:marLeft w:val="0"/>
              <w:marRight w:val="0"/>
              <w:marTop w:val="0"/>
              <w:marBottom w:val="0"/>
              <w:divBdr>
                <w:top w:val="none" w:sz="0" w:space="0" w:color="auto"/>
                <w:left w:val="none" w:sz="0" w:space="0" w:color="auto"/>
                <w:bottom w:val="none" w:sz="0" w:space="0" w:color="auto"/>
                <w:right w:val="none" w:sz="0" w:space="0" w:color="auto"/>
              </w:divBdr>
              <w:divsChild>
                <w:div w:id="78993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8434">
      <w:bodyDiv w:val="1"/>
      <w:marLeft w:val="0"/>
      <w:marRight w:val="0"/>
      <w:marTop w:val="0"/>
      <w:marBottom w:val="0"/>
      <w:divBdr>
        <w:top w:val="none" w:sz="0" w:space="0" w:color="auto"/>
        <w:left w:val="none" w:sz="0" w:space="0" w:color="auto"/>
        <w:bottom w:val="none" w:sz="0" w:space="0" w:color="auto"/>
        <w:right w:val="none" w:sz="0" w:space="0" w:color="auto"/>
      </w:divBdr>
      <w:divsChild>
        <w:div w:id="576061625">
          <w:marLeft w:val="547"/>
          <w:marRight w:val="0"/>
          <w:marTop w:val="0"/>
          <w:marBottom w:val="0"/>
          <w:divBdr>
            <w:top w:val="none" w:sz="0" w:space="0" w:color="auto"/>
            <w:left w:val="none" w:sz="0" w:space="0" w:color="auto"/>
            <w:bottom w:val="none" w:sz="0" w:space="0" w:color="auto"/>
            <w:right w:val="none" w:sz="0" w:space="0" w:color="auto"/>
          </w:divBdr>
        </w:div>
      </w:divsChild>
    </w:div>
    <w:div w:id="1184517646">
      <w:bodyDiv w:val="1"/>
      <w:marLeft w:val="0"/>
      <w:marRight w:val="0"/>
      <w:marTop w:val="0"/>
      <w:marBottom w:val="0"/>
      <w:divBdr>
        <w:top w:val="none" w:sz="0" w:space="0" w:color="auto"/>
        <w:left w:val="none" w:sz="0" w:space="0" w:color="auto"/>
        <w:bottom w:val="none" w:sz="0" w:space="0" w:color="auto"/>
        <w:right w:val="none" w:sz="0" w:space="0" w:color="auto"/>
      </w:divBdr>
    </w:div>
    <w:div w:id="1283996686">
      <w:bodyDiv w:val="1"/>
      <w:marLeft w:val="0"/>
      <w:marRight w:val="0"/>
      <w:marTop w:val="0"/>
      <w:marBottom w:val="0"/>
      <w:divBdr>
        <w:top w:val="none" w:sz="0" w:space="0" w:color="auto"/>
        <w:left w:val="none" w:sz="0" w:space="0" w:color="auto"/>
        <w:bottom w:val="none" w:sz="0" w:space="0" w:color="auto"/>
        <w:right w:val="none" w:sz="0" w:space="0" w:color="auto"/>
      </w:divBdr>
    </w:div>
    <w:div w:id="1284001299">
      <w:bodyDiv w:val="1"/>
      <w:marLeft w:val="0"/>
      <w:marRight w:val="0"/>
      <w:marTop w:val="0"/>
      <w:marBottom w:val="0"/>
      <w:divBdr>
        <w:top w:val="none" w:sz="0" w:space="0" w:color="auto"/>
        <w:left w:val="none" w:sz="0" w:space="0" w:color="auto"/>
        <w:bottom w:val="none" w:sz="0" w:space="0" w:color="auto"/>
        <w:right w:val="none" w:sz="0" w:space="0" w:color="auto"/>
      </w:divBdr>
    </w:div>
    <w:div w:id="1318420353">
      <w:bodyDiv w:val="1"/>
      <w:marLeft w:val="0"/>
      <w:marRight w:val="0"/>
      <w:marTop w:val="0"/>
      <w:marBottom w:val="0"/>
      <w:divBdr>
        <w:top w:val="none" w:sz="0" w:space="0" w:color="auto"/>
        <w:left w:val="none" w:sz="0" w:space="0" w:color="auto"/>
        <w:bottom w:val="none" w:sz="0" w:space="0" w:color="auto"/>
        <w:right w:val="none" w:sz="0" w:space="0" w:color="auto"/>
      </w:divBdr>
    </w:div>
    <w:div w:id="1333989160">
      <w:bodyDiv w:val="1"/>
      <w:marLeft w:val="0"/>
      <w:marRight w:val="0"/>
      <w:marTop w:val="0"/>
      <w:marBottom w:val="0"/>
      <w:divBdr>
        <w:top w:val="none" w:sz="0" w:space="0" w:color="auto"/>
        <w:left w:val="none" w:sz="0" w:space="0" w:color="auto"/>
        <w:bottom w:val="none" w:sz="0" w:space="0" w:color="auto"/>
        <w:right w:val="none" w:sz="0" w:space="0" w:color="auto"/>
      </w:divBdr>
    </w:div>
    <w:div w:id="1424371963">
      <w:bodyDiv w:val="1"/>
      <w:marLeft w:val="0"/>
      <w:marRight w:val="0"/>
      <w:marTop w:val="0"/>
      <w:marBottom w:val="0"/>
      <w:divBdr>
        <w:top w:val="none" w:sz="0" w:space="0" w:color="auto"/>
        <w:left w:val="none" w:sz="0" w:space="0" w:color="auto"/>
        <w:bottom w:val="none" w:sz="0" w:space="0" w:color="auto"/>
        <w:right w:val="none" w:sz="0" w:space="0" w:color="auto"/>
      </w:divBdr>
    </w:div>
    <w:div w:id="1431657836">
      <w:bodyDiv w:val="1"/>
      <w:marLeft w:val="0"/>
      <w:marRight w:val="0"/>
      <w:marTop w:val="0"/>
      <w:marBottom w:val="0"/>
      <w:divBdr>
        <w:top w:val="none" w:sz="0" w:space="0" w:color="auto"/>
        <w:left w:val="none" w:sz="0" w:space="0" w:color="auto"/>
        <w:bottom w:val="none" w:sz="0" w:space="0" w:color="auto"/>
        <w:right w:val="none" w:sz="0" w:space="0" w:color="auto"/>
      </w:divBdr>
    </w:div>
    <w:div w:id="1453282951">
      <w:bodyDiv w:val="1"/>
      <w:marLeft w:val="0"/>
      <w:marRight w:val="0"/>
      <w:marTop w:val="0"/>
      <w:marBottom w:val="0"/>
      <w:divBdr>
        <w:top w:val="none" w:sz="0" w:space="0" w:color="auto"/>
        <w:left w:val="none" w:sz="0" w:space="0" w:color="auto"/>
        <w:bottom w:val="none" w:sz="0" w:space="0" w:color="auto"/>
        <w:right w:val="none" w:sz="0" w:space="0" w:color="auto"/>
      </w:divBdr>
      <w:divsChild>
        <w:div w:id="840312136">
          <w:marLeft w:val="0"/>
          <w:marRight w:val="0"/>
          <w:marTop w:val="0"/>
          <w:marBottom w:val="0"/>
          <w:divBdr>
            <w:top w:val="none" w:sz="0" w:space="0" w:color="auto"/>
            <w:left w:val="none" w:sz="0" w:space="0" w:color="auto"/>
            <w:bottom w:val="none" w:sz="0" w:space="0" w:color="auto"/>
            <w:right w:val="none" w:sz="0" w:space="0" w:color="auto"/>
          </w:divBdr>
          <w:divsChild>
            <w:div w:id="235626404">
              <w:marLeft w:val="0"/>
              <w:marRight w:val="0"/>
              <w:marTop w:val="0"/>
              <w:marBottom w:val="0"/>
              <w:divBdr>
                <w:top w:val="none" w:sz="0" w:space="0" w:color="auto"/>
                <w:left w:val="none" w:sz="0" w:space="0" w:color="auto"/>
                <w:bottom w:val="none" w:sz="0" w:space="0" w:color="auto"/>
                <w:right w:val="none" w:sz="0" w:space="0" w:color="auto"/>
              </w:divBdr>
              <w:divsChild>
                <w:div w:id="14019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440425">
      <w:bodyDiv w:val="1"/>
      <w:marLeft w:val="0"/>
      <w:marRight w:val="0"/>
      <w:marTop w:val="0"/>
      <w:marBottom w:val="0"/>
      <w:divBdr>
        <w:top w:val="none" w:sz="0" w:space="0" w:color="auto"/>
        <w:left w:val="none" w:sz="0" w:space="0" w:color="auto"/>
        <w:bottom w:val="none" w:sz="0" w:space="0" w:color="auto"/>
        <w:right w:val="none" w:sz="0" w:space="0" w:color="auto"/>
      </w:divBdr>
    </w:div>
    <w:div w:id="1519463969">
      <w:bodyDiv w:val="1"/>
      <w:marLeft w:val="0"/>
      <w:marRight w:val="0"/>
      <w:marTop w:val="0"/>
      <w:marBottom w:val="0"/>
      <w:divBdr>
        <w:top w:val="none" w:sz="0" w:space="0" w:color="auto"/>
        <w:left w:val="none" w:sz="0" w:space="0" w:color="auto"/>
        <w:bottom w:val="none" w:sz="0" w:space="0" w:color="auto"/>
        <w:right w:val="none" w:sz="0" w:space="0" w:color="auto"/>
      </w:divBdr>
      <w:divsChild>
        <w:div w:id="1502088202">
          <w:marLeft w:val="0"/>
          <w:marRight w:val="0"/>
          <w:marTop w:val="0"/>
          <w:marBottom w:val="0"/>
          <w:divBdr>
            <w:top w:val="none" w:sz="0" w:space="0" w:color="auto"/>
            <w:left w:val="none" w:sz="0" w:space="0" w:color="auto"/>
            <w:bottom w:val="none" w:sz="0" w:space="0" w:color="auto"/>
            <w:right w:val="none" w:sz="0" w:space="0" w:color="auto"/>
          </w:divBdr>
          <w:divsChild>
            <w:div w:id="672227494">
              <w:marLeft w:val="0"/>
              <w:marRight w:val="0"/>
              <w:marTop w:val="0"/>
              <w:marBottom w:val="0"/>
              <w:divBdr>
                <w:top w:val="none" w:sz="0" w:space="0" w:color="auto"/>
                <w:left w:val="none" w:sz="0" w:space="0" w:color="auto"/>
                <w:bottom w:val="none" w:sz="0" w:space="0" w:color="auto"/>
                <w:right w:val="none" w:sz="0" w:space="0" w:color="auto"/>
              </w:divBdr>
              <w:divsChild>
                <w:div w:id="17574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55167">
      <w:bodyDiv w:val="1"/>
      <w:marLeft w:val="0"/>
      <w:marRight w:val="0"/>
      <w:marTop w:val="0"/>
      <w:marBottom w:val="0"/>
      <w:divBdr>
        <w:top w:val="none" w:sz="0" w:space="0" w:color="auto"/>
        <w:left w:val="none" w:sz="0" w:space="0" w:color="auto"/>
        <w:bottom w:val="none" w:sz="0" w:space="0" w:color="auto"/>
        <w:right w:val="none" w:sz="0" w:space="0" w:color="auto"/>
      </w:divBdr>
      <w:divsChild>
        <w:div w:id="1516461178">
          <w:marLeft w:val="0"/>
          <w:marRight w:val="0"/>
          <w:marTop w:val="0"/>
          <w:marBottom w:val="0"/>
          <w:divBdr>
            <w:top w:val="none" w:sz="0" w:space="0" w:color="auto"/>
            <w:left w:val="none" w:sz="0" w:space="0" w:color="auto"/>
            <w:bottom w:val="none" w:sz="0" w:space="0" w:color="auto"/>
            <w:right w:val="none" w:sz="0" w:space="0" w:color="auto"/>
          </w:divBdr>
          <w:divsChild>
            <w:div w:id="1102145088">
              <w:marLeft w:val="0"/>
              <w:marRight w:val="0"/>
              <w:marTop w:val="0"/>
              <w:marBottom w:val="0"/>
              <w:divBdr>
                <w:top w:val="none" w:sz="0" w:space="0" w:color="auto"/>
                <w:left w:val="none" w:sz="0" w:space="0" w:color="auto"/>
                <w:bottom w:val="none" w:sz="0" w:space="0" w:color="auto"/>
                <w:right w:val="none" w:sz="0" w:space="0" w:color="auto"/>
              </w:divBdr>
              <w:divsChild>
                <w:div w:id="1742756095">
                  <w:marLeft w:val="0"/>
                  <w:marRight w:val="0"/>
                  <w:marTop w:val="0"/>
                  <w:marBottom w:val="0"/>
                  <w:divBdr>
                    <w:top w:val="none" w:sz="0" w:space="0" w:color="auto"/>
                    <w:left w:val="none" w:sz="0" w:space="0" w:color="auto"/>
                    <w:bottom w:val="none" w:sz="0" w:space="0" w:color="auto"/>
                    <w:right w:val="none" w:sz="0" w:space="0" w:color="auto"/>
                  </w:divBdr>
                  <w:divsChild>
                    <w:div w:id="20674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551412">
      <w:bodyDiv w:val="1"/>
      <w:marLeft w:val="0"/>
      <w:marRight w:val="0"/>
      <w:marTop w:val="0"/>
      <w:marBottom w:val="0"/>
      <w:divBdr>
        <w:top w:val="none" w:sz="0" w:space="0" w:color="auto"/>
        <w:left w:val="none" w:sz="0" w:space="0" w:color="auto"/>
        <w:bottom w:val="none" w:sz="0" w:space="0" w:color="auto"/>
        <w:right w:val="none" w:sz="0" w:space="0" w:color="auto"/>
      </w:divBdr>
    </w:div>
    <w:div w:id="1635014733">
      <w:bodyDiv w:val="1"/>
      <w:marLeft w:val="0"/>
      <w:marRight w:val="0"/>
      <w:marTop w:val="0"/>
      <w:marBottom w:val="0"/>
      <w:divBdr>
        <w:top w:val="none" w:sz="0" w:space="0" w:color="auto"/>
        <w:left w:val="none" w:sz="0" w:space="0" w:color="auto"/>
        <w:bottom w:val="none" w:sz="0" w:space="0" w:color="auto"/>
        <w:right w:val="none" w:sz="0" w:space="0" w:color="auto"/>
      </w:divBdr>
    </w:div>
    <w:div w:id="1678730363">
      <w:bodyDiv w:val="1"/>
      <w:marLeft w:val="0"/>
      <w:marRight w:val="0"/>
      <w:marTop w:val="0"/>
      <w:marBottom w:val="0"/>
      <w:divBdr>
        <w:top w:val="none" w:sz="0" w:space="0" w:color="auto"/>
        <w:left w:val="none" w:sz="0" w:space="0" w:color="auto"/>
        <w:bottom w:val="none" w:sz="0" w:space="0" w:color="auto"/>
        <w:right w:val="none" w:sz="0" w:space="0" w:color="auto"/>
      </w:divBdr>
    </w:div>
    <w:div w:id="1689018141">
      <w:bodyDiv w:val="1"/>
      <w:marLeft w:val="0"/>
      <w:marRight w:val="0"/>
      <w:marTop w:val="0"/>
      <w:marBottom w:val="0"/>
      <w:divBdr>
        <w:top w:val="none" w:sz="0" w:space="0" w:color="auto"/>
        <w:left w:val="none" w:sz="0" w:space="0" w:color="auto"/>
        <w:bottom w:val="none" w:sz="0" w:space="0" w:color="auto"/>
        <w:right w:val="none" w:sz="0" w:space="0" w:color="auto"/>
      </w:divBdr>
    </w:div>
    <w:div w:id="1699236717">
      <w:bodyDiv w:val="1"/>
      <w:marLeft w:val="0"/>
      <w:marRight w:val="0"/>
      <w:marTop w:val="0"/>
      <w:marBottom w:val="0"/>
      <w:divBdr>
        <w:top w:val="none" w:sz="0" w:space="0" w:color="auto"/>
        <w:left w:val="none" w:sz="0" w:space="0" w:color="auto"/>
        <w:bottom w:val="none" w:sz="0" w:space="0" w:color="auto"/>
        <w:right w:val="none" w:sz="0" w:space="0" w:color="auto"/>
      </w:divBdr>
    </w:div>
    <w:div w:id="1702901383">
      <w:bodyDiv w:val="1"/>
      <w:marLeft w:val="0"/>
      <w:marRight w:val="0"/>
      <w:marTop w:val="0"/>
      <w:marBottom w:val="0"/>
      <w:divBdr>
        <w:top w:val="none" w:sz="0" w:space="0" w:color="auto"/>
        <w:left w:val="none" w:sz="0" w:space="0" w:color="auto"/>
        <w:bottom w:val="none" w:sz="0" w:space="0" w:color="auto"/>
        <w:right w:val="none" w:sz="0" w:space="0" w:color="auto"/>
      </w:divBdr>
    </w:div>
    <w:div w:id="1782718691">
      <w:bodyDiv w:val="1"/>
      <w:marLeft w:val="0"/>
      <w:marRight w:val="0"/>
      <w:marTop w:val="0"/>
      <w:marBottom w:val="0"/>
      <w:divBdr>
        <w:top w:val="none" w:sz="0" w:space="0" w:color="auto"/>
        <w:left w:val="none" w:sz="0" w:space="0" w:color="auto"/>
        <w:bottom w:val="none" w:sz="0" w:space="0" w:color="auto"/>
        <w:right w:val="none" w:sz="0" w:space="0" w:color="auto"/>
      </w:divBdr>
    </w:div>
    <w:div w:id="1785149427">
      <w:bodyDiv w:val="1"/>
      <w:marLeft w:val="0"/>
      <w:marRight w:val="0"/>
      <w:marTop w:val="0"/>
      <w:marBottom w:val="0"/>
      <w:divBdr>
        <w:top w:val="none" w:sz="0" w:space="0" w:color="auto"/>
        <w:left w:val="none" w:sz="0" w:space="0" w:color="auto"/>
        <w:bottom w:val="none" w:sz="0" w:space="0" w:color="auto"/>
        <w:right w:val="none" w:sz="0" w:space="0" w:color="auto"/>
      </w:divBdr>
    </w:div>
    <w:div w:id="1896503676">
      <w:bodyDiv w:val="1"/>
      <w:marLeft w:val="0"/>
      <w:marRight w:val="0"/>
      <w:marTop w:val="0"/>
      <w:marBottom w:val="0"/>
      <w:divBdr>
        <w:top w:val="none" w:sz="0" w:space="0" w:color="auto"/>
        <w:left w:val="none" w:sz="0" w:space="0" w:color="auto"/>
        <w:bottom w:val="none" w:sz="0" w:space="0" w:color="auto"/>
        <w:right w:val="none" w:sz="0" w:space="0" w:color="auto"/>
      </w:divBdr>
    </w:div>
    <w:div w:id="1936284717">
      <w:bodyDiv w:val="1"/>
      <w:marLeft w:val="0"/>
      <w:marRight w:val="0"/>
      <w:marTop w:val="0"/>
      <w:marBottom w:val="0"/>
      <w:divBdr>
        <w:top w:val="none" w:sz="0" w:space="0" w:color="auto"/>
        <w:left w:val="none" w:sz="0" w:space="0" w:color="auto"/>
        <w:bottom w:val="none" w:sz="0" w:space="0" w:color="auto"/>
        <w:right w:val="none" w:sz="0" w:space="0" w:color="auto"/>
      </w:divBdr>
    </w:div>
    <w:div w:id="1936740789">
      <w:bodyDiv w:val="1"/>
      <w:marLeft w:val="0"/>
      <w:marRight w:val="0"/>
      <w:marTop w:val="0"/>
      <w:marBottom w:val="0"/>
      <w:divBdr>
        <w:top w:val="none" w:sz="0" w:space="0" w:color="auto"/>
        <w:left w:val="none" w:sz="0" w:space="0" w:color="auto"/>
        <w:bottom w:val="none" w:sz="0" w:space="0" w:color="auto"/>
        <w:right w:val="none" w:sz="0" w:space="0" w:color="auto"/>
      </w:divBdr>
    </w:div>
    <w:div w:id="1968117807">
      <w:bodyDiv w:val="1"/>
      <w:marLeft w:val="0"/>
      <w:marRight w:val="0"/>
      <w:marTop w:val="0"/>
      <w:marBottom w:val="0"/>
      <w:divBdr>
        <w:top w:val="none" w:sz="0" w:space="0" w:color="auto"/>
        <w:left w:val="none" w:sz="0" w:space="0" w:color="auto"/>
        <w:bottom w:val="none" w:sz="0" w:space="0" w:color="auto"/>
        <w:right w:val="none" w:sz="0" w:space="0" w:color="auto"/>
      </w:divBdr>
    </w:div>
    <w:div w:id="2032758495">
      <w:bodyDiv w:val="1"/>
      <w:marLeft w:val="0"/>
      <w:marRight w:val="0"/>
      <w:marTop w:val="0"/>
      <w:marBottom w:val="0"/>
      <w:divBdr>
        <w:top w:val="none" w:sz="0" w:space="0" w:color="auto"/>
        <w:left w:val="none" w:sz="0" w:space="0" w:color="auto"/>
        <w:bottom w:val="none" w:sz="0" w:space="0" w:color="auto"/>
        <w:right w:val="none" w:sz="0" w:space="0" w:color="auto"/>
      </w:divBdr>
    </w:div>
    <w:div w:id="2033263149">
      <w:bodyDiv w:val="1"/>
      <w:marLeft w:val="0"/>
      <w:marRight w:val="0"/>
      <w:marTop w:val="0"/>
      <w:marBottom w:val="0"/>
      <w:divBdr>
        <w:top w:val="none" w:sz="0" w:space="0" w:color="auto"/>
        <w:left w:val="none" w:sz="0" w:space="0" w:color="auto"/>
        <w:bottom w:val="none" w:sz="0" w:space="0" w:color="auto"/>
        <w:right w:val="none" w:sz="0" w:space="0" w:color="auto"/>
      </w:divBdr>
    </w:div>
    <w:div w:id="2069568954">
      <w:bodyDiv w:val="1"/>
      <w:marLeft w:val="0"/>
      <w:marRight w:val="0"/>
      <w:marTop w:val="0"/>
      <w:marBottom w:val="0"/>
      <w:divBdr>
        <w:top w:val="none" w:sz="0" w:space="0" w:color="auto"/>
        <w:left w:val="none" w:sz="0" w:space="0" w:color="auto"/>
        <w:bottom w:val="none" w:sz="0" w:space="0" w:color="auto"/>
        <w:right w:val="none" w:sz="0" w:space="0" w:color="auto"/>
      </w:divBdr>
    </w:div>
    <w:div w:id="208209781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webSettings>
</file>

<file path=word/_rels/document.xml.rels><?xml version="1.0" encoding="UTF-8" standalone="yes"?>
<Relationships xmlns="http://schemas.openxmlformats.org/package/2006/relationships"><Relationship Id="rId8" Type="http://schemas.openxmlformats.org/officeDocument/2006/relationships/hyperlink" Target="http://www.curatiofoundatio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Joh20</b:Tag>
    <b:SourceType>InternetSite</b:SourceType>
    <b:Guid>{14F246CA-2468-451C-B951-D6ADD9E97284}</b:Guid>
    <b:Title>Coronavirus Resource Center</b:Title>
    <b:Year>2020</b:Year>
    <b:Author>
      <b:Author>
        <b:Corporate>John Hopkins University</b:Corporate>
      </b:Author>
    </b:Author>
    <b:Month>September</b:Month>
    <b:Day>3</b:Day>
    <b:URL>https://coronavirus.jhu.edu/map.html</b:URL>
    <b:RefOrder>1</b:RefOrder>
  </b:Source>
  <b:Source>
    <b:Tag>Geo20</b:Tag>
    <b:SourceType>InternetSite</b:SourceType>
    <b:Guid>{8900EDAF-5277-4FA0-9722-BF5700394465}</b:Guid>
    <b:Author>
      <b:Author>
        <b:Corporate>GeoStat</b:Corporate>
      </b:Author>
    </b:Author>
    <b:Title>Naitonal Statistics Office of Georgia. Population and Demographics</b:Title>
    <b:Year>2020</b:Year>
    <b:Month>June</b:Month>
    <b:YearAccessed>2020</b:YearAccessed>
    <b:MonthAccessed>September</b:MonthAccessed>
    <b:DayAccessed>3</b:DayAccessed>
    <b:URL>https://www.geostat.ge/en/modules/categories/41/population </b:URL>
    <b:RefOrder>2</b:RefOrder>
  </b:Source>
  <b:Source>
    <b:Tag>The20</b:Tag>
    <b:SourceType>InternetSite</b:SourceType>
    <b:Guid>{FA1119E0-7E8F-4FB2-A6DA-DD594FD9B281}</b:Guid>
    <b:Author>
      <b:Author>
        <b:Corporate>The World Bank</b:Corporate>
      </b:Author>
    </b:Author>
    <b:Title>World Bank Country and Lending Groups</b:Title>
    <b:Year>2020</b:Year>
    <b:YearAccessed>2020</b:YearAccessed>
    <b:MonthAccessed>September</b:MonthAccessed>
    <b:DayAccessed>3</b:DayAccessed>
    <b:URL>https://datahelpdesk.worldbank.org/knowledgebase/articles/906519-world-bank-country-and-lending-groups</b:URL>
    <b:RefOrder>3</b:RefOrder>
  </b:Source>
  <b:Source>
    <b:Tag>The201</b:Tag>
    <b:SourceType>InternetSite</b:SourceType>
    <b:Guid>{6B304547-1740-40AB-89A3-CEC0024E389E}</b:Guid>
    <b:Author>
      <b:Author>
        <b:Corporate>The World Bank. </b:Corporate>
      </b:Author>
    </b:Author>
    <b:Title>The World Bank in Georgia</b:Title>
    <b:Year>2020</b:Year>
    <b:Month>April</b:Month>
    <b:Day>16</b:Day>
    <b:YearAccessed>2020</b:YearAccessed>
    <b:MonthAccessed>September</b:MonthAccessed>
    <b:DayAccessed>3</b:DayAccessed>
    <b:URL>https://www.worldbank.org/en/country/georgia/overview</b:URL>
    <b:RefOrder>4</b:RefOrder>
  </b:Source>
  <b:Source>
    <b:Tag>Wor15</b:Tag>
    <b:SourceType>InternetSite</b:SourceType>
    <b:Guid>{7BC3EF8F-40E9-4691-895B-B936EF694439}</b:Guid>
    <b:Author>
      <b:Author>
        <b:Corporate>World Health Organisation. Regional Office for Europe</b:Corporate>
      </b:Author>
    </b:Author>
    <b:Title>Georgia’s health financing reforms show tangible benefits for the population</b:Title>
    <b:Year>2015</b:Year>
    <b:Month>July</b:Month>
    <b:Day>14</b:Day>
    <b:YearAccessed>2020</b:YearAccessed>
    <b:MonthAccessed>September</b:MonthAccessed>
    <b:DayAccessed>3</b:DayAccessed>
    <b:URL>https://www.euro.who.int/en/countries/georgia/news/news/2015/07/georgias-health-financing-reforms-show-tangible-benefits-for-the-population</b:URL>
    <b:RefOrder>6</b:RefOrder>
  </b:Source>
  <b:Source>
    <b:Tag>Ric17</b:Tag>
    <b:SourceType>ArticleInAPeriodical</b:SourceType>
    <b:Guid>{F1F253E2-2DE4-4314-A196-DD604A8BD3C7}</b:Guid>
    <b:Title>Georgia: Health system review.</b:Title>
    <b:Year>2017</b:Year>
    <b:Author>
      <b:Author>
        <b:NameList>
          <b:Person>
            <b:Last>Richardson E.</b:Last>
            <b:First>Berdzuli</b:First>
            <b:Middle>N.</b:Middle>
          </b:Person>
        </b:NameList>
      </b:Author>
    </b:Author>
    <b:PeriodicalTitle>Health Systems in Transition</b:PeriodicalTitle>
    <b:Pages>1-90</b:Pages>
    <b:Volume>19</b:Volume>
    <b:Issue>4</b:Issue>
    <b:RefOrder>7</b:RefOrder>
  </b:Source>
  <b:Source>
    <b:Tag>Nat19</b:Tag>
    <b:SourceType>InternetSite</b:SourceType>
    <b:Guid>{AE8C808B-633E-4178-B560-76D651FE9EB0}</b:Guid>
    <b:Author>
      <b:Author>
        <b:Corporate>National Democrratic Institute - Georgia</b:Corporate>
      </b:Author>
    </b:Author>
    <b:Title>Public Opinion Reasearch</b:Title>
    <b:Year>2019</b:Year>
    <b:Month>January - July </b:Month>
    <b:YearAccessed>2020</b:YearAccessed>
    <b:MonthAccessed>September</b:MonthAccessed>
    <b:DayAccessed>3</b:DayAccessed>
    <b:URL>https://www.ndi.org/georgia-polls</b:URL>
    <b:RefOrder>8</b:RefOrder>
  </b:Source>
  <b:Source>
    <b:Tag>Gam02</b:Tag>
    <b:SourceType>ArticleInAPeriodical</b:SourceType>
    <b:Guid>{8B723EFF-671D-41BC-AE18-3ECED05A8D62}</b:Guid>
    <b:Title>Health care systems in transition: Georgia</b:Title>
    <b:Year>2002</b:Year>
    <b:Author>
      <b:Author>
        <b:NameList>
          <b:Person>
            <b:Last>Gamkrelidze</b:Last>
            <b:First>A</b:First>
          </b:Person>
          <b:Person>
            <b:First>Atun,</b:First>
            <b:Middle>R.</b:Middle>
          </b:Person>
          <b:Person>
            <b:Last>Gotsadze</b:Last>
            <b:First>G.</b:First>
          </b:Person>
          <b:Person>
            <b:Last>MacLehose</b:Last>
            <b:First>L.</b:First>
          </b:Person>
        </b:NameList>
      </b:Author>
    </b:Author>
    <b:PeriodicalTitle>Health care systems in transition</b:PeriodicalTitle>
    <b:Publisher>European Observatory on Health Systems</b:Publisher>
    <b:Volume>4</b:Volume>
    <b:Issue>2</b:Issue>
    <b:RefOrder>5</b:RefOrder>
  </b:Source>
  <b:Source>
    <b:Tag>Cur19</b:Tag>
    <b:SourceType>InternetSite</b:SourceType>
    <b:Guid>{0E2F0F19-BF05-452E-ADF9-F25CBDDCBF19}</b:Guid>
    <b:Title>Health Sector Barometer</b:Title>
    <b:Year>2014-2019</b:Year>
    <b:Author>
      <b:Author>
        <b:Corporate>Curatio International Foundation</b:Corporate>
      </b:Author>
    </b:Author>
    <b:YearAccessed>2020</b:YearAccessed>
    <b:MonthAccessed>Septermber</b:MonthAccessed>
    <b:DayAccessed>2</b:DayAccessed>
    <b:URL>http://curatiofoundation.org/ge/?lang=ge&amp;s=%E1%83%91%E1%83%90%E1%83%A0%E1%83%9D%E1%83%9B%E1%83%94%E1%83%A2%E1%83%A0%E1%83%98&amp;lang=ge</b:URL>
    <b:RefOrder>9</b:RefOrder>
  </b:Source>
  <b:Source>
    <b:Tag>Min20</b:Tag>
    <b:SourceType>InternetSite</b:SourceType>
    <b:Guid>{B0467AF0-39A8-417C-803F-BC25C54F9245}</b:Guid>
    <b:Author>
      <b:Author>
        <b:Corporate>Ministry of Finance of Georgia</b:Corporate>
      </b:Author>
    </b:Author>
    <b:Title>State Budget</b:Title>
    <b:Year>2012-2020</b:Year>
    <b:YearAccessed>2020</b:YearAccessed>
    <b:MonthAccessed>September</b:MonthAccessed>
    <b:DayAccessed>3</b:DayAccessed>
    <b:URL>https://mof.ge/en/5262</b:URL>
    <b:RefOrder>10</b:RefOrder>
  </b:Source>
  <b:Source>
    <b:Tag>Bak10</b:Tag>
    <b:SourceType>JournalArticle</b:SourceType>
    <b:Guid>{97F805E0-03A9-4AFF-8999-EF49E15775C7}</b:Guid>
    <b:Title>Biosafety and biosecurity as essential pillars of international health security and cross-cutting elelments of biological non-proliferation.</b:Title>
    <b:Year>2010</b:Year>
    <b:Author>
      <b:Author>
        <b:NameList>
          <b:Person>
            <b:Last>Bakanidze</b:Last>
            <b:First>L</b:First>
          </b:Person>
          <b:Person>
            <b:Last>Imnadze</b:Last>
            <b:First>P</b:First>
          </b:Person>
          <b:Person>
            <b:Last>Perkins</b:Last>
            <b:First>D</b:First>
          </b:Person>
        </b:NameList>
      </b:Author>
    </b:Author>
    <b:JournalName>BMC Public Health</b:JournalName>
    <b:Volume>10</b:Volume>
    <b:Issue>(Suppl.1): S12</b:Issue>
    <b:RefOrder>11</b:RefOrder>
  </b:Source>
  <b:Source>
    <b:Tag>Min15</b:Tag>
    <b:SourceType>DocumentFromInternetSite</b:SourceType>
    <b:Guid>{7CD91EB0-BEBE-4104-9B09-59125E2AE57C}</b:Guid>
    <b:Title>Cooperative Biological Engagement Program. Collaboration with DTRA</b:Title>
    <b:Year>2015</b:Year>
    <b:Author>
      <b:Author>
        <b:Corporate>Minsitry of Labour Health and Social Affairs of Georgia, National Center for Diseases Control of Georgia, Defence Threart Reduction Agency of the US, </b:Corporate>
      </b:Author>
    </b:Author>
    <b:YearAccessed>2020</b:YearAccessed>
    <b:MonthAccessed>September</b:MonthAccessed>
    <b:DayAccessed>3</b:DayAccessed>
    <b:URL>https://www.ncdc.ge/Handlers/GetFile.ashx?ID=bc7bfcd2-b2e7-41e8-842e-69312ed9ec47</b:URL>
    <b:RefOrder>12</b:RefOrder>
  </b:Source>
  <b:Source>
    <b:Tag>Wor17</b:Tag>
    <b:SourceType>Report</b:SourceType>
    <b:Guid>{985C7137-4BEE-4FBD-A22B-2838C5232D95}</b:Guid>
    <b:Title>Joint external evaluation of IHR core capacities of Georgia:</b:Title>
    <b:Year>2017</b:Year>
    <b:Author>
      <b:Author>
        <b:Corporate>World Health Organization</b:Corporate>
      </b:Author>
    </b:Author>
    <b:Publisher> (WHO/WHE/CPI/2019.13). Licence: CC BY-NC-SA 3.0 IGO</b:Publisher>
    <b:City>Geneva</b:City>
    <b:RefOrder>13</b:RefOrder>
  </b:Source>
  <b:Source>
    <b:Tag>The11</b:Tag>
    <b:SourceType>Report</b:SourceType>
    <b:Guid>{C52A0E97-8A9C-4307-9C08-4281CBC8C19E}</b:Guid>
    <b:Author>
      <b:Author>
        <b:Corporate>The World Bank</b:Corporate>
      </b:Author>
    </b:Author>
    <b:Title> An avian influenza control and human pandemic preparedness and response project under the Global Program for Avian Influenza (GPAI). Implementation Completion and Reults Report</b:Title>
    <b:Year>2011</b:Year>
    <b:Publisher>The World Bank</b:Publisher>
    <b:City>Washington D.C.</b:City>
    <b:RefOrder>14</b:RefOrder>
  </b:Source>
  <b:Source>
    <b:Tag>DHP13</b:Tag>
    <b:SourceType>Report</b:SourceType>
    <b:Guid>{2F8A18CC-A6E9-4CF2-9919-64CF19BACA56}</b:Guid>
    <b:Title>Implementation research in health: a practical guide. 2013</b:Title>
    <b:Year>2013</b:Year>
    <b:Publisher>Alliance for Health Policy and Systems Research, WHO</b:Publisher>
    <b:Author>
      <b:Author>
        <b:NameList>
          <b:Person>
            <b:Last>Peters</b:Last>
            <b:First>D.H</b:First>
          </b:Person>
          <b:Person>
            <b:Last>Nhan</b:Last>
            <b:First>T.</b:First>
            <b:Middle>T</b:Middle>
          </b:Person>
          <b:Person>
            <b:Last>Taghreed</b:Last>
            <b:First>A.</b:First>
          </b:Person>
        </b:NameList>
      </b:Author>
    </b:Author>
    <b:Volume>;</b:Volume>
    <b:RefOrder>16</b:RefOrder>
  </b:Source>
  <b:Source>
    <b:Tag>Wal08</b:Tag>
    <b:SourceType>JournalArticle</b:SourceType>
    <b:Guid>{98FBB0D9-18CD-458A-BCED-98618974345F}</b:Guid>
    <b:Title>“Doing” health policy analysis: methodological and conceptual reflections and challenges</b:Title>
    <b:Year>2008</b:Year>
    <b:Author>
      <b:Author>
        <b:NameList>
          <b:Person>
            <b:Last>Walt</b:Last>
            <b:First>G</b:First>
          </b:Person>
          <b:Person>
            <b:Last>Shiffman</b:Last>
            <b:First>J</b:First>
          </b:Person>
          <b:Person>
            <b:Last>Schneider</b:Last>
            <b:First>H</b:First>
          </b:Person>
          <b:Person>
            <b:Last>Murray</b:Last>
            <b:First>SF</b:First>
          </b:Person>
          <b:Person>
            <b:Last>Brugha</b:Last>
            <b:First>R</b:First>
          </b:Person>
          <b:Person>
            <b:Last>Gilson</b:Last>
            <b:First>L.</b:First>
          </b:Person>
        </b:NameList>
      </b:Author>
    </b:Author>
    <b:JournalName>Health Policy Planning</b:JournalName>
    <b:Pages>308-317</b:Pages>
    <b:Volume>23</b:Volume>
    <b:Issue>5</b:Issue>
    <b:DOI>10.1093</b:DOI>
    <b:RefOrder>17</b:RefOrder>
  </b:Source>
  <b:Source>
    <b:Tag>Yin03</b:Tag>
    <b:SourceType>Book</b:SourceType>
    <b:Guid>{0425C78F-FB65-4BBE-88AD-95A12A3543A2}</b:Guid>
    <b:Author>
      <b:Author>
        <b:NameList>
          <b:Person>
            <b:Last>Yin</b:Last>
            <b:First>R.</b:First>
            <b:Middle>K.</b:Middle>
          </b:Person>
        </b:NameList>
      </b:Author>
    </b:Author>
    <b:Title>Case study research: Design and methods (3rd ed.).</b:Title>
    <b:Year>2003</b:Year>
    <b:City>Thousand Oaks, CA</b:City>
    <b:Publisher>Sage</b:Publisher>
    <b:RefOrder>18</b:RefOrder>
  </b:Source>
  <b:Source>
    <b:Tag>Kee99</b:Tag>
    <b:SourceType>BookSection</b:SourceType>
    <b:Guid>{199BA014-839D-4047-8B60-18C124AAD99A}</b:Guid>
    <b:Author>
      <b:Author>
        <b:NameList>
          <b:Person>
            <b:Last>Keen</b:Last>
            <b:First>J</b:First>
          </b:Person>
          <b:Person>
            <b:Last>Packwood</b:Last>
            <b:First>T.</b:First>
          </b:Person>
        </b:NameList>
      </b:Author>
      <b:Editor>
        <b:NameList>
          <b:Person>
            <b:Last>Pope</b:Last>
            <b:First>C</b:First>
          </b:Person>
          <b:Person>
            <b:Last>Mays</b:Last>
            <b:First>N.</b:First>
          </b:Person>
        </b:NameList>
      </b:Editor>
    </b:Author>
    <b:Title>Using case studies in health services and policy research</b:Title>
    <b:Year>1999</b:Year>
    <b:City>London</b:City>
    <b:Publisher>BMJ Publishing Group</b:Publisher>
    <b:BookTitle>Qualitative Research in Health Care</b:BookTitle>
    <b:RefOrder>19</b:RefOrder>
  </b:Source>
  <b:Source>
    <b:Tag>Ros89</b:Tag>
    <b:SourceType>Book</b:SourceType>
    <b:Guid>{AF0E5D23-64AB-4BA7-9CF2-C5981E54B819}</b:Guid>
    <b:Title>Coping with crises: The management of disasters, riots, and terrorism</b:Title>
    <b:Year>1989</b:Year>
    <b:City>Springfield</b:City>
    <b:Publisher> Charles C Thomas Pub Limited</b:Publisher>
    <b:Author>
      <b:Author>
        <b:NameList>
          <b:Person>
            <b:Last>Rosenthal</b:Last>
            <b:First>U</b:First>
          </b:Person>
          <b:Person>
            <b:Last>Charles</b:Last>
            <b:First>MT</b:First>
          </b:Person>
          <b:Person>
            <b:Last>Hart</b:Last>
            <b:First>PT.</b:First>
          </b:Person>
        </b:NameList>
      </b:Author>
    </b:Author>
    <b:RefOrder>20</b:RefOrder>
  </b:Source>
  <b:Source>
    <b:Tag>Gov20</b:Tag>
    <b:SourceType>InternetSite</b:SourceType>
    <b:Guid>{A9B85CF6-B88A-447F-A5C2-A4A8266A924A}</b:Guid>
    <b:Title>StopCov.ge</b:Title>
    <b:Year>2020</b:Year>
    <b:Author>
      <b:Author>
        <b:Corporate>Government of Georgia</b:Corporate>
      </b:Author>
    </b:Author>
    <b:Month>September</b:Month>
    <b:Day>3</b:Day>
    <b:YearAccessed>2020</b:YearAccessed>
    <b:MonthAccessed>September</b:MonthAccessed>
    <b:DayAccessed>3</b:DayAccessed>
    <b:URL>https://stopcov.ge/en</b:URL>
    <b:RefOrder>15</b:RefOrder>
  </b:Source>
  <b:Source>
    <b:Tag>Bus05</b:Tag>
    <b:SourceType>Book</b:SourceType>
    <b:Guid>{6CB6F4A9-EB6B-4AAC-8A5D-D8E188064AED}</b:Guid>
    <b:Title>Making Health Policy</b:Title>
    <b:Year>2005</b:Year>
    <b:Author>
      <b:Author>
        <b:NameList>
          <b:Person>
            <b:Last>Buse</b:Last>
            <b:First>K</b:First>
          </b:Person>
          <b:Person>
            <b:Last>Mays</b:Last>
            <b:First>N</b:First>
          </b:Person>
          <b:Person>
            <b:Last>Walt</b:Last>
            <b:First>G.</b:First>
          </b:Person>
        </b:NameList>
      </b:Author>
    </b:Author>
    <b:City>London</b:City>
    <b:Publisher>Open University Press, London School of Hygiene and Tropical Medicine</b:Publisher>
    <b:RefOrder>21</b:RefOrder>
  </b:Source>
  <b:Source>
    <b:Tag>Wal94</b:Tag>
    <b:SourceType>JournalArticle</b:SourceType>
    <b:Guid>{2CE0E1C4-0899-43A0-9253-F4FD55A83CC3}</b:Guid>
    <b:Title>Reforming the health sector in developing countries: the central role of policy analysis</b:Title>
    <b:Year>1994</b:Year>
    <b:Author>
      <b:Author>
        <b:NameList>
          <b:Person>
            <b:Last>Walt</b:Last>
            <b:First>G</b:First>
          </b:Person>
          <b:Person>
            <b:Last>Gilson</b:Last>
            <b:First>L.</b:First>
          </b:Person>
        </b:NameList>
      </b:Author>
    </b:Author>
    <b:JournalName>Health Policy and Planning</b:JournalName>
    <b:Pages>353-370</b:Pages>
    <b:Volume>9</b:Volume>
    <b:RefOrder>22</b:RefOrder>
  </b:Source>
  <b:Source>
    <b:Tag>Boi10</b:Tag>
    <b:SourceType>JournalArticle</b:SourceType>
    <b:Guid>{6C67DC3B-604F-474F-92D4-67CADBBEE8B9}</b:Guid>
    <b:Author>
      <b:Author>
        <b:NameList>
          <b:Person>
            <b:Last>Boin</b:Last>
            <b:First>A</b:First>
          </b:Person>
          <b:Person>
            <b:Last>Hart</b:Last>
            <b:First>P.</b:First>
          </b:Person>
        </b:NameList>
      </b:Author>
    </b:Author>
    <b:Title>Organising for effective emergency management: Lessons from research</b:Title>
    <b:JournalName>Australian Journal of Public Administration</b:JournalName>
    <b:Year>2010</b:Year>
    <b:Pages>357-371</b:Pages>
    <b:Volume>69</b:Volume>
    <b:Issue>4</b:Issue>
    <b:DOI>10.1111/j.1467-8500.2010.00694.x.</b:DOI>
    <b:RefOrder>23</b:RefOrder>
  </b:Source>
  <b:Source>
    <b:Tag>Bru00</b:Tag>
    <b:SourceType>JournalArticle</b:SourceType>
    <b:Guid>{52CFFF52-29B0-4C0B-936E-0B513A28343F}</b:Guid>
    <b:Author>
      <b:Author>
        <b:NameList>
          <b:Person>
            <b:Last>Brugha</b:Last>
            <b:First>R</b:First>
          </b:Person>
          <b:Person>
            <b:Last>Varvasovszky</b:Last>
            <b:First>Z:</b:First>
          </b:Person>
        </b:NameList>
      </b:Author>
    </b:Author>
    <b:Title>Stakeholder analysis: a review</b:Title>
    <b:JournalName>Health Policy Planning</b:JournalName>
    <b:Year>2000</b:Year>
    <b:Pages>239-246</b:Pages>
    <b:Volume>15</b:Volume>
    <b:RefOrder>24</b:RefOrder>
  </b:Source>
  <b:Source>
    <b:Tag>Gil08</b:Tag>
    <b:SourceType>JournalArticle</b:SourceType>
    <b:Guid>{BD7B1123-E699-4E3F-A40A-DE579757DCA2}</b:Guid>
    <b:Author>
      <b:Author>
        <b:NameList>
          <b:Person>
            <b:Last>Gilson</b:Last>
            <b:First>L</b:First>
          </b:Person>
          <b:Person>
            <b:Last>Raphaely</b:Last>
            <b:First>N.</b:First>
          </b:Person>
        </b:NameList>
      </b:Author>
    </b:Author>
    <b:Title>The terrain of health policy analysis in low and middle income countries: a review of published literature 1994-2007</b:Title>
    <b:JournalName>Health Policy Planning</b:JournalName>
    <b:Year>2008</b:Year>
    <b:Pages>294-307</b:Pages>
    <b:Volume>23</b:Volume>
    <b:RefOrder>25</b:RefOrder>
  </b:Source>
  <b:Source>
    <b:Tag>Han18</b:Tag>
    <b:SourceType>JournalArticle</b:SourceType>
    <b:Guid>{29318AFC-3901-4E07-A9C8-1DE42065CF7A}</b:Guid>
    <b:Author>
      <b:Author>
        <b:NameList>
          <b:Person>
            <b:Last>Hanefeld</b:Last>
            <b:First>J</b:First>
          </b:Person>
          <b:Person>
            <b:Last>Mayhew</b:Last>
            <b:First>S</b:First>
          </b:Person>
          <b:Person>
            <b:Last>Legido-Quigley</b:Last>
            <b:First>H</b:First>
          </b:Person>
          <b:Person>
            <b:Last>al.</b:Last>
            <b:First>et</b:First>
          </b:Person>
        </b:NameList>
      </b:Author>
    </b:Author>
    <b:Title>Towards an understanding of resilience: responding to health systems shocks</b:Title>
    <b:JournalName>Health Policy Plan</b:JournalName>
    <b:Year>2018</b:Year>
    <b:Pages>355-367</b:Pages>
    <b:Volume>33</b:Volume>
    <b:Issue>3</b:Issue>
    <b:RefOrder>26</b:RefOrder>
  </b:Source>
  <b:Source>
    <b:Tag>Bar09</b:Tag>
    <b:SourceType>JournalArticle</b:SourceType>
    <b:Guid>{EC061565-259B-48A1-93F5-7EAE9BB458E9}</b:Guid>
    <b:Author>
      <b:Author>
        <b:NameList>
          <b:Person>
            <b:Last>Barnett-Page</b:Last>
            <b:First>E</b:First>
          </b:Person>
          <b:Person>
            <b:Last>Thomas</b:Last>
            <b:First>J.</b:First>
          </b:Person>
        </b:NameList>
      </b:Author>
    </b:Author>
    <b:Title>Methods for the synthesis of qualitative research: a critical review.  2009 9:59</b:Title>
    <b:JournalName>BMC Medical Research Methodology</b:JournalName>
    <b:Year>2009</b:Year>
    <b:Volume>9</b:Volume>
    <b:Issue>59</b:Issue>
    <b:RefOrder>27</b:RefOrder>
  </b:Source>
  <b:Source>
    <b:Tag>Car11</b:Tag>
    <b:SourceType>JournalArticle</b:SourceType>
    <b:Guid>{23F19424-A6D8-4132-B1D0-50654D3D594B}</b:Guid>
    <b:Author>
      <b:Author>
        <b:NameList>
          <b:Person>
            <b:Last>Carroll</b:Last>
            <b:First>C</b:First>
          </b:Person>
          <b:Person>
            <b:Last>Booth</b:Last>
            <b:First>A</b:First>
          </b:Person>
          <b:Person>
            <b:Last>Cooper</b:Last>
            <b:First>K.</b:First>
          </b:Person>
        </b:NameList>
      </b:Author>
    </b:Author>
    <b:Title>A worked example of "best-fit" framework synthesis: a systematic review of views concerning the taking of potential chemopreventive agents.</b:Title>
    <b:JournalName> BMC Med Res Methodol. </b:JournalName>
    <b:Year>2011</b:Year>
    <b:Volume>11</b:Volume>
    <b:Issue>29</b:Issue>
    <b:RefOrder>28</b:RefOrder>
  </b:Source>
  <b:Source>
    <b:Tag>Bru06</b:Tag>
    <b:SourceType>Book</b:SourceType>
    <b:Guid>{CA449833-9E7B-45CC-97BF-4759C78EBBF2}</b:Guid>
    <b:Author>
      <b:Author>
        <b:NameList>
          <b:Person>
            <b:Last>Brunton</b:Last>
            <b:First>G</b:First>
          </b:Person>
          <b:Person>
            <b:Last>Oliver</b:Last>
            <b:First>S</b:First>
          </b:Person>
          <b:Person>
            <b:Last>Oliver</b:Last>
            <b:First>K</b:First>
          </b:Person>
          <b:Person>
            <b:Last>Lorenc</b:Last>
            <b:First>T.</b:First>
          </b:Person>
        </b:NameList>
      </b:Author>
    </b:Author>
    <b:Title>A Synthesis of Research Addressing Children's, Young People's and Parents' Views of Walking and Cycling for Transport.</b:Title>
    <b:Year>2006</b:Year>
    <b:City>London</b:City>
    <b:Publisher>EPPI-Centre, Social Science Research Unit, Institute of Education,</b:Publisher>
    <b:RefOrder>29</b:RefOrder>
  </b:Source>
</b:Sources>
</file>

<file path=customXml/itemProps1.xml><?xml version="1.0" encoding="utf-8"?>
<ds:datastoreItem xmlns:ds="http://schemas.openxmlformats.org/officeDocument/2006/customXml" ds:itemID="{A38711E5-5840-40DC-9724-697AE435A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2170</TotalTime>
  <Pages>16</Pages>
  <Words>7100</Words>
  <Characters>42352</Characters>
  <Application>Microsoft Office Word</Application>
  <DocSecurity>0</DocSecurity>
  <Lines>352</Lines>
  <Paragraphs>98</Paragraphs>
  <ScaleCrop>false</ScaleCrop>
  <HeadingPairs>
    <vt:vector size="2" baseType="variant">
      <vt:variant>
        <vt:lpstr>Title</vt:lpstr>
      </vt:variant>
      <vt:variant>
        <vt:i4>1</vt:i4>
      </vt:variant>
    </vt:vector>
  </HeadingPairs>
  <TitlesOfParts>
    <vt:vector size="1" baseType="lpstr">
      <vt:lpstr>PART I</vt:lpstr>
    </vt:vector>
  </TitlesOfParts>
  <Company>CIF</Company>
  <LinksUpToDate>false</LinksUpToDate>
  <CharactersWithSpaces>49354</CharactersWithSpaces>
  <SharedDoc>false</SharedDoc>
  <HLinks>
    <vt:vector size="66" baseType="variant">
      <vt:variant>
        <vt:i4>1835099</vt:i4>
      </vt:variant>
      <vt:variant>
        <vt:i4>24</vt:i4>
      </vt:variant>
      <vt:variant>
        <vt:i4>0</vt:i4>
      </vt:variant>
      <vt:variant>
        <vt:i4>5</vt:i4>
      </vt:variant>
      <vt:variant>
        <vt:lpwstr>../../../AppData/Local/Microsoft/Windows/AppData/Local/Microsoft/Local Settings/Temporary Internet Files/OLK2A/www.curatiofoundation.org</vt:lpwstr>
      </vt:variant>
      <vt:variant>
        <vt:lpwstr/>
      </vt:variant>
      <vt:variant>
        <vt:i4>7471228</vt:i4>
      </vt:variant>
      <vt:variant>
        <vt:i4>21</vt:i4>
      </vt:variant>
      <vt:variant>
        <vt:i4>0</vt:i4>
      </vt:variant>
      <vt:variant>
        <vt:i4>5</vt:i4>
      </vt:variant>
      <vt:variant>
        <vt:lpwstr>mailto:N.Rukhadze@curatio.com</vt:lpwstr>
      </vt:variant>
      <vt:variant>
        <vt:lpwstr/>
      </vt:variant>
      <vt:variant>
        <vt:i4>5373990</vt:i4>
      </vt:variant>
      <vt:variant>
        <vt:i4>18</vt:i4>
      </vt:variant>
      <vt:variant>
        <vt:i4>0</vt:i4>
      </vt:variant>
      <vt:variant>
        <vt:i4>5</vt:i4>
      </vt:variant>
      <vt:variant>
        <vt:lpwstr>http://www.globalforumhealth.org/</vt:lpwstr>
      </vt:variant>
      <vt:variant>
        <vt:lpwstr/>
      </vt:variant>
      <vt:variant>
        <vt:i4>1376261</vt:i4>
      </vt:variant>
      <vt:variant>
        <vt:i4>15</vt:i4>
      </vt:variant>
      <vt:variant>
        <vt:i4>0</vt:i4>
      </vt:variant>
      <vt:variant>
        <vt:i4>5</vt:i4>
      </vt:variant>
      <vt:variant>
        <vt:lpwstr>../../../AppData/Local/Microsoft/Windows/AppData/Local/Microsoft/Windows/Temporary Internet Files/PATH/SUSTAIN Proposal documents/CV's/www.curatiofoundation.org</vt:lpwstr>
      </vt:variant>
      <vt:variant>
        <vt:lpwstr/>
      </vt:variant>
      <vt:variant>
        <vt:i4>786551</vt:i4>
      </vt:variant>
      <vt:variant>
        <vt:i4>12</vt:i4>
      </vt:variant>
      <vt:variant>
        <vt:i4>0</vt:i4>
      </vt:variant>
      <vt:variant>
        <vt:i4>5</vt:i4>
      </vt:variant>
      <vt:variant>
        <vt:lpwstr>mailto:k.chkhatarashvili@curatio.com</vt:lpwstr>
      </vt:variant>
      <vt:variant>
        <vt:lpwstr/>
      </vt:variant>
      <vt:variant>
        <vt:i4>7471228</vt:i4>
      </vt:variant>
      <vt:variant>
        <vt:i4>6</vt:i4>
      </vt:variant>
      <vt:variant>
        <vt:i4>0</vt:i4>
      </vt:variant>
      <vt:variant>
        <vt:i4>5</vt:i4>
      </vt:variant>
      <vt:variant>
        <vt:lpwstr>mailto:n.rukhadze@curatio.com</vt:lpwstr>
      </vt:variant>
      <vt:variant>
        <vt:lpwstr/>
      </vt:variant>
      <vt:variant>
        <vt:i4>5111858</vt:i4>
      </vt:variant>
      <vt:variant>
        <vt:i4>0</vt:i4>
      </vt:variant>
      <vt:variant>
        <vt:i4>0</vt:i4>
      </vt:variant>
      <vt:variant>
        <vt:i4>5</vt:i4>
      </vt:variant>
      <vt:variant>
        <vt:lpwstr>http://www.curatiofoundation.org/</vt:lpwstr>
      </vt:variant>
      <vt:variant>
        <vt:lpwstr/>
      </vt:variant>
      <vt:variant>
        <vt:i4>4653133</vt:i4>
      </vt:variant>
      <vt:variant>
        <vt:i4>6</vt:i4>
      </vt:variant>
      <vt:variant>
        <vt:i4>0</vt:i4>
      </vt:variant>
      <vt:variant>
        <vt:i4>5</vt:i4>
      </vt:variant>
      <vt:variant>
        <vt:lpwstr>http://moh.gov.ge/ge_pdf/angarishebi/2007.pdf</vt:lpwstr>
      </vt:variant>
      <vt:variant>
        <vt:lpwstr/>
      </vt:variant>
      <vt:variant>
        <vt:i4>1507364</vt:i4>
      </vt:variant>
      <vt:variant>
        <vt:i4>3</vt:i4>
      </vt:variant>
      <vt:variant>
        <vt:i4>0</vt:i4>
      </vt:variant>
      <vt:variant>
        <vt:i4>5</vt:i4>
      </vt:variant>
      <vt:variant>
        <vt:lpwstr>http://www.euro.who.int/hfadb</vt:lpwstr>
      </vt:variant>
      <vt:variant>
        <vt:lpwstr/>
      </vt:variant>
      <vt:variant>
        <vt:i4>5963849</vt:i4>
      </vt:variant>
      <vt:variant>
        <vt:i4>0</vt:i4>
      </vt:variant>
      <vt:variant>
        <vt:i4>0</vt:i4>
      </vt:variant>
      <vt:variant>
        <vt:i4>5</vt:i4>
      </vt:variant>
      <vt:variant>
        <vt:lpwstr>http://web.worldbank.org/WBSITE/EXTERNAL/DATASTATISTICS/0,,contentMDK:20535285~menuPK:1192694~pagePK:64133150~piPK:64133175~theSitePK:239419,00.html</vt:lpwstr>
      </vt:variant>
      <vt:variant>
        <vt:lpwstr/>
      </vt:variant>
      <vt:variant>
        <vt:i4>1638475</vt:i4>
      </vt:variant>
      <vt:variant>
        <vt:i4>62781</vt:i4>
      </vt:variant>
      <vt:variant>
        <vt:i4>1025</vt:i4>
      </vt:variant>
      <vt:variant>
        <vt:i4>1</vt:i4>
      </vt:variant>
      <vt:variant>
        <vt:lpwstr>07-049387-F2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dc:title>
  <dc:subject/>
  <dc:creator>Keti Chkhatarashvili</dc:creator>
  <cp:keywords/>
  <dc:description/>
  <cp:lastModifiedBy>Akaki Zoidze</cp:lastModifiedBy>
  <cp:revision>81</cp:revision>
  <cp:lastPrinted>2014-11-15T10:00:00Z</cp:lastPrinted>
  <dcterms:created xsi:type="dcterms:W3CDTF">2020-09-03T05:05:00Z</dcterms:created>
  <dcterms:modified xsi:type="dcterms:W3CDTF">2020-09-04T17:49:00Z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